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96E7" w14:textId="77777777" w:rsidR="00AC3A8B" w:rsidRPr="000E653F" w:rsidRDefault="00AA5E09" w:rsidP="00A63BE0">
      <w:pPr>
        <w:pStyle w:val="Title"/>
        <w:widowControl w:val="0"/>
        <w:spacing w:after="360"/>
        <w:contextualSpacing w:val="0"/>
      </w:pPr>
      <w:r w:rsidRPr="000E653F">
        <w:rPr>
          <w:noProof/>
          <w:lang w:val="en-CA" w:eastAsia="en-CA"/>
        </w:rPr>
        <w:drawing>
          <wp:inline distT="0" distB="0" distL="0" distR="0" wp14:anchorId="390898AB" wp14:editId="19D5A633">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0E653F">
        <w:tab/>
      </w:r>
      <w:r w:rsidR="00AC3A8B" w:rsidRPr="000E653F">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0E653F" w14:paraId="2A3ECFFE" w14:textId="77777777" w:rsidTr="00B7545F">
        <w:trPr>
          <w:tblHeader/>
        </w:trPr>
        <w:tc>
          <w:tcPr>
            <w:tcW w:w="2898" w:type="dxa"/>
          </w:tcPr>
          <w:p w14:paraId="4017F1C9" w14:textId="77777777" w:rsidR="00FF5EE5" w:rsidRPr="000E653F" w:rsidRDefault="00FF5EE5" w:rsidP="00FF5EE5">
            <w:pPr>
              <w:spacing w:before="60" w:after="60"/>
              <w:rPr>
                <w:rFonts w:cs="Arial"/>
              </w:rPr>
            </w:pPr>
            <w:r w:rsidRPr="000E653F">
              <w:rPr>
                <w:rStyle w:val="Strong"/>
                <w:rFonts w:cs="Arial"/>
              </w:rPr>
              <w:t>To</w:t>
            </w:r>
            <w:r w:rsidRPr="000E653F">
              <w:rPr>
                <w:rFonts w:cs="Arial"/>
              </w:rPr>
              <w:t>:</w:t>
            </w:r>
          </w:p>
        </w:tc>
        <w:tc>
          <w:tcPr>
            <w:tcW w:w="6678" w:type="dxa"/>
          </w:tcPr>
          <w:p w14:paraId="71A38C00" w14:textId="77777777" w:rsidR="00FF5EE5" w:rsidRPr="000E653F" w:rsidRDefault="00FF5EE5" w:rsidP="00064511">
            <w:pPr>
              <w:spacing w:before="60" w:after="60"/>
              <w:rPr>
                <w:rFonts w:cs="Arial"/>
              </w:rPr>
            </w:pPr>
            <w:r w:rsidRPr="000E653F">
              <w:rPr>
                <w:rFonts w:cs="Arial"/>
                <w:lang w:val="en-CA"/>
              </w:rPr>
              <w:t xml:space="preserve">Warden </w:t>
            </w:r>
            <w:r w:rsidR="00EA52D7" w:rsidRPr="000E653F">
              <w:rPr>
                <w:rFonts w:cs="Arial"/>
                <w:lang w:val="en-CA"/>
              </w:rPr>
              <w:t>H</w:t>
            </w:r>
            <w:r w:rsidR="00064511">
              <w:rPr>
                <w:rFonts w:cs="Arial"/>
                <w:lang w:val="en-CA"/>
              </w:rPr>
              <w:t>icks</w:t>
            </w:r>
            <w:r w:rsidR="00EA52D7" w:rsidRPr="000E653F">
              <w:rPr>
                <w:rFonts w:cs="Arial"/>
                <w:lang w:val="en-CA"/>
              </w:rPr>
              <w:t xml:space="preserve"> </w:t>
            </w:r>
            <w:r w:rsidRPr="000E653F">
              <w:rPr>
                <w:rFonts w:cs="Arial"/>
                <w:lang w:val="en-CA"/>
              </w:rPr>
              <w:t>and Members of Grey County Council</w:t>
            </w:r>
          </w:p>
        </w:tc>
      </w:tr>
      <w:tr w:rsidR="00FF5EE5" w:rsidRPr="000E653F" w14:paraId="1AB51791" w14:textId="77777777" w:rsidTr="00FF5EE5">
        <w:tc>
          <w:tcPr>
            <w:tcW w:w="2898" w:type="dxa"/>
          </w:tcPr>
          <w:p w14:paraId="46BDFDA4" w14:textId="77777777" w:rsidR="00FF5EE5" w:rsidRPr="000E653F" w:rsidRDefault="00FF5EE5" w:rsidP="00FF5EE5">
            <w:pPr>
              <w:spacing w:before="60" w:after="60"/>
              <w:rPr>
                <w:rStyle w:val="Strong"/>
                <w:rFonts w:cs="Arial"/>
              </w:rPr>
            </w:pPr>
            <w:r w:rsidRPr="000E653F">
              <w:rPr>
                <w:rStyle w:val="Strong"/>
                <w:rFonts w:cs="Arial"/>
              </w:rPr>
              <w:t>Committee Date</w:t>
            </w:r>
            <w:r w:rsidRPr="000E653F">
              <w:rPr>
                <w:rFonts w:cs="Arial"/>
                <w:b/>
                <w:lang w:val="en-CA"/>
              </w:rPr>
              <w:t>:</w:t>
            </w:r>
          </w:p>
        </w:tc>
        <w:tc>
          <w:tcPr>
            <w:tcW w:w="6678" w:type="dxa"/>
          </w:tcPr>
          <w:p w14:paraId="01B86987" w14:textId="2DD7384F" w:rsidR="00FF5EE5" w:rsidRPr="000E653F" w:rsidRDefault="00E1265F" w:rsidP="00E33774">
            <w:pPr>
              <w:spacing w:before="60" w:after="60"/>
              <w:rPr>
                <w:rFonts w:cs="Arial"/>
                <w:lang w:val="en-CA"/>
              </w:rPr>
            </w:pPr>
            <w:r>
              <w:rPr>
                <w:rFonts w:cs="Arial"/>
                <w:lang w:val="en-CA"/>
              </w:rPr>
              <w:t>September</w:t>
            </w:r>
            <w:r w:rsidR="003A4919">
              <w:rPr>
                <w:rFonts w:cs="Arial"/>
                <w:lang w:val="en-CA"/>
              </w:rPr>
              <w:t xml:space="preserve"> </w:t>
            </w:r>
            <w:r>
              <w:rPr>
                <w:rFonts w:cs="Arial"/>
                <w:lang w:val="en-CA"/>
              </w:rPr>
              <w:t>12</w:t>
            </w:r>
            <w:r w:rsidR="003A4919">
              <w:rPr>
                <w:rFonts w:cs="Arial"/>
                <w:lang w:val="en-CA"/>
              </w:rPr>
              <w:t>, 2019</w:t>
            </w:r>
          </w:p>
        </w:tc>
      </w:tr>
      <w:tr w:rsidR="00FF5EE5" w:rsidRPr="000E653F" w14:paraId="5B20E871" w14:textId="77777777" w:rsidTr="00FF5EE5">
        <w:tc>
          <w:tcPr>
            <w:tcW w:w="2898" w:type="dxa"/>
          </w:tcPr>
          <w:p w14:paraId="3055E002" w14:textId="77777777" w:rsidR="00FF5EE5" w:rsidRPr="000E653F" w:rsidRDefault="00FF5EE5" w:rsidP="00FF5EE5">
            <w:pPr>
              <w:spacing w:before="60" w:after="60"/>
              <w:rPr>
                <w:rStyle w:val="Strong"/>
                <w:rFonts w:cs="Arial"/>
              </w:rPr>
            </w:pPr>
            <w:r w:rsidRPr="000E653F">
              <w:rPr>
                <w:rFonts w:cs="Arial"/>
                <w:b/>
                <w:lang w:val="en-CA"/>
              </w:rPr>
              <w:t>Subject / Report No:</w:t>
            </w:r>
          </w:p>
        </w:tc>
        <w:tc>
          <w:tcPr>
            <w:tcW w:w="6678" w:type="dxa"/>
          </w:tcPr>
          <w:p w14:paraId="697F7E65" w14:textId="3FE2D5B7" w:rsidR="00FF5EE5" w:rsidRPr="000E653F" w:rsidRDefault="000A6E64" w:rsidP="00850B5B">
            <w:pPr>
              <w:spacing w:before="60" w:after="60"/>
              <w:rPr>
                <w:rFonts w:cs="Arial"/>
                <w:lang w:val="en-CA"/>
              </w:rPr>
            </w:pPr>
            <w:r w:rsidRPr="000E653F">
              <w:rPr>
                <w:rFonts w:cs="Arial"/>
                <w:lang w:val="en-CA"/>
              </w:rPr>
              <w:t>PDR-CW</w:t>
            </w:r>
            <w:r w:rsidRPr="0034624F">
              <w:rPr>
                <w:rFonts w:cs="Arial"/>
                <w:lang w:val="en-CA"/>
              </w:rPr>
              <w:t>-</w:t>
            </w:r>
            <w:r w:rsidR="0034624F" w:rsidRPr="0034624F">
              <w:rPr>
                <w:rFonts w:cs="Arial"/>
                <w:lang w:val="en-CA"/>
              </w:rPr>
              <w:t>3</w:t>
            </w:r>
            <w:r w:rsidR="00E1265F">
              <w:rPr>
                <w:rFonts w:cs="Arial"/>
                <w:lang w:val="en-CA"/>
              </w:rPr>
              <w:t>6</w:t>
            </w:r>
            <w:r w:rsidR="00E33774" w:rsidRPr="0034624F">
              <w:rPr>
                <w:rFonts w:cs="Arial"/>
                <w:lang w:val="en-CA"/>
              </w:rPr>
              <w:t>-19</w:t>
            </w:r>
          </w:p>
        </w:tc>
      </w:tr>
      <w:tr w:rsidR="00FF5EE5" w:rsidRPr="000E653F" w14:paraId="70B9CEDB" w14:textId="77777777" w:rsidTr="00FF5EE5">
        <w:tc>
          <w:tcPr>
            <w:tcW w:w="2898" w:type="dxa"/>
          </w:tcPr>
          <w:p w14:paraId="18822BA4" w14:textId="77777777" w:rsidR="00FF5EE5" w:rsidRPr="000E653F" w:rsidRDefault="00FF5EE5" w:rsidP="00FF5EE5">
            <w:pPr>
              <w:spacing w:before="60" w:after="60"/>
              <w:rPr>
                <w:rFonts w:cs="Arial"/>
                <w:b/>
                <w:lang w:val="en-CA"/>
              </w:rPr>
            </w:pPr>
            <w:r w:rsidRPr="000E653F">
              <w:rPr>
                <w:rFonts w:cs="Arial"/>
                <w:b/>
                <w:lang w:val="en-CA"/>
              </w:rPr>
              <w:t>Title:</w:t>
            </w:r>
          </w:p>
        </w:tc>
        <w:tc>
          <w:tcPr>
            <w:tcW w:w="6678" w:type="dxa"/>
          </w:tcPr>
          <w:p w14:paraId="54D0FE54" w14:textId="4C47CFD7" w:rsidR="00FF5EE5" w:rsidRPr="00ED192F" w:rsidRDefault="00E1265F" w:rsidP="00846FB1">
            <w:pPr>
              <w:spacing w:before="60" w:after="60"/>
              <w:rPr>
                <w:rFonts w:cs="Arial"/>
                <w:lang w:val="en-CA"/>
              </w:rPr>
            </w:pPr>
            <w:r w:rsidRPr="00E1265F">
              <w:rPr>
                <w:rFonts w:cs="Arial"/>
                <w:lang w:val="en-CA"/>
              </w:rPr>
              <w:t>Town of The Blue Mountains Official Plan Short Term Accommodations</w:t>
            </w:r>
            <w:r w:rsidR="00B40DBF">
              <w:rPr>
                <w:rFonts w:cs="Arial"/>
                <w:lang w:val="en-CA"/>
              </w:rPr>
              <w:t xml:space="preserve"> Policies</w:t>
            </w:r>
          </w:p>
        </w:tc>
      </w:tr>
      <w:tr w:rsidR="00FF5EE5" w:rsidRPr="000E653F" w14:paraId="67C3358D" w14:textId="77777777" w:rsidTr="00FF5EE5">
        <w:tc>
          <w:tcPr>
            <w:tcW w:w="2898" w:type="dxa"/>
          </w:tcPr>
          <w:p w14:paraId="23418871" w14:textId="77777777" w:rsidR="00FF5EE5" w:rsidRPr="000E653F" w:rsidRDefault="00FF5EE5" w:rsidP="00FF5EE5">
            <w:pPr>
              <w:spacing w:before="60" w:after="60"/>
              <w:rPr>
                <w:rFonts w:cs="Arial"/>
                <w:b/>
                <w:lang w:val="en-CA"/>
              </w:rPr>
            </w:pPr>
            <w:r w:rsidRPr="000E653F">
              <w:rPr>
                <w:rFonts w:cs="Arial"/>
                <w:b/>
                <w:lang w:val="en-CA"/>
              </w:rPr>
              <w:t>Prepared by:</w:t>
            </w:r>
          </w:p>
        </w:tc>
        <w:tc>
          <w:tcPr>
            <w:tcW w:w="6678" w:type="dxa"/>
          </w:tcPr>
          <w:p w14:paraId="241C2BA6" w14:textId="29FDFAB0" w:rsidR="00FF5EE5" w:rsidRPr="000E653F" w:rsidRDefault="00E21DEA" w:rsidP="00FF5EE5">
            <w:pPr>
              <w:spacing w:before="60" w:after="60"/>
              <w:rPr>
                <w:rFonts w:cs="Arial"/>
                <w:lang w:val="en-CA"/>
              </w:rPr>
            </w:pPr>
            <w:r>
              <w:rPr>
                <w:rFonts w:cs="Arial"/>
                <w:lang w:val="en-CA"/>
              </w:rPr>
              <w:t>Scott Taylor</w:t>
            </w:r>
          </w:p>
        </w:tc>
      </w:tr>
      <w:tr w:rsidR="00FF5EE5" w:rsidRPr="000E653F" w14:paraId="11891103" w14:textId="77777777" w:rsidTr="00FF5EE5">
        <w:tc>
          <w:tcPr>
            <w:tcW w:w="2898" w:type="dxa"/>
          </w:tcPr>
          <w:p w14:paraId="46EA4F8B" w14:textId="77777777" w:rsidR="00FF5EE5" w:rsidRPr="000E653F" w:rsidRDefault="00FF5EE5" w:rsidP="00FF5EE5">
            <w:pPr>
              <w:spacing w:before="60" w:after="60"/>
              <w:rPr>
                <w:rFonts w:cs="Arial"/>
                <w:b/>
                <w:lang w:val="en-CA"/>
              </w:rPr>
            </w:pPr>
            <w:r w:rsidRPr="000E653F">
              <w:rPr>
                <w:rFonts w:cs="Arial"/>
                <w:b/>
                <w:lang w:val="en-CA"/>
              </w:rPr>
              <w:t>Reviewed by:</w:t>
            </w:r>
          </w:p>
        </w:tc>
        <w:tc>
          <w:tcPr>
            <w:tcW w:w="6678" w:type="dxa"/>
          </w:tcPr>
          <w:p w14:paraId="25FA61DD" w14:textId="7C0188DB" w:rsidR="00FF5EE5" w:rsidRPr="000E653F" w:rsidRDefault="00E21DEA" w:rsidP="00FF5EE5">
            <w:pPr>
              <w:spacing w:before="60" w:after="60"/>
              <w:rPr>
                <w:rFonts w:cs="Arial"/>
                <w:lang w:val="en-CA"/>
              </w:rPr>
            </w:pPr>
            <w:r w:rsidRPr="000E653F">
              <w:rPr>
                <w:rFonts w:cs="Arial"/>
                <w:lang w:val="en-CA"/>
              </w:rPr>
              <w:t>Randy Scherzer</w:t>
            </w:r>
          </w:p>
        </w:tc>
      </w:tr>
      <w:tr w:rsidR="00FF5EE5" w:rsidRPr="000E653F" w14:paraId="730D437D" w14:textId="77777777" w:rsidTr="00FF5EE5">
        <w:tc>
          <w:tcPr>
            <w:tcW w:w="2898" w:type="dxa"/>
          </w:tcPr>
          <w:p w14:paraId="525E5CA2" w14:textId="77777777" w:rsidR="00FF5EE5" w:rsidRPr="000E653F" w:rsidRDefault="00FF5EE5" w:rsidP="00FF5EE5">
            <w:pPr>
              <w:spacing w:before="60" w:after="60"/>
              <w:rPr>
                <w:rFonts w:cs="Arial"/>
                <w:b/>
                <w:lang w:val="en-CA"/>
              </w:rPr>
            </w:pPr>
            <w:r w:rsidRPr="000E653F">
              <w:rPr>
                <w:rFonts w:cs="Arial"/>
                <w:b/>
                <w:lang w:val="en-CA"/>
              </w:rPr>
              <w:t>Lower Tier(s) Affected:</w:t>
            </w:r>
          </w:p>
        </w:tc>
        <w:tc>
          <w:tcPr>
            <w:tcW w:w="6678" w:type="dxa"/>
          </w:tcPr>
          <w:p w14:paraId="091483B4" w14:textId="4205038F" w:rsidR="00FF5EE5" w:rsidRPr="000E653F" w:rsidRDefault="00E1265F" w:rsidP="00846FB1">
            <w:pPr>
              <w:spacing w:before="60" w:after="60"/>
              <w:rPr>
                <w:rFonts w:cs="Arial"/>
                <w:lang w:val="en-CA"/>
              </w:rPr>
            </w:pPr>
            <w:r>
              <w:rPr>
                <w:rFonts w:cs="Arial"/>
                <w:lang w:val="en-CA"/>
              </w:rPr>
              <w:t>Town of The Blue Mountains</w:t>
            </w:r>
          </w:p>
        </w:tc>
      </w:tr>
      <w:tr w:rsidR="00FF5EE5" w:rsidRPr="000E653F" w14:paraId="39F44DCB" w14:textId="77777777" w:rsidTr="00FF5EE5">
        <w:tc>
          <w:tcPr>
            <w:tcW w:w="2898" w:type="dxa"/>
          </w:tcPr>
          <w:p w14:paraId="5EE30DF7" w14:textId="77777777" w:rsidR="00FF5EE5" w:rsidRPr="000E653F" w:rsidRDefault="00FF5EE5" w:rsidP="00FF5EE5">
            <w:pPr>
              <w:spacing w:before="60" w:after="60"/>
              <w:rPr>
                <w:rFonts w:cs="Arial"/>
                <w:b/>
                <w:lang w:val="en-CA"/>
              </w:rPr>
            </w:pPr>
            <w:r w:rsidRPr="000E653F">
              <w:rPr>
                <w:rStyle w:val="Strong"/>
                <w:rFonts w:cs="Arial"/>
              </w:rPr>
              <w:t>Status</w:t>
            </w:r>
            <w:r w:rsidRPr="000E653F">
              <w:rPr>
                <w:rFonts w:cs="Arial"/>
                <w:b/>
              </w:rPr>
              <w:t>:</w:t>
            </w:r>
          </w:p>
        </w:tc>
        <w:tc>
          <w:tcPr>
            <w:tcW w:w="6678" w:type="dxa"/>
          </w:tcPr>
          <w:p w14:paraId="479BAACD" w14:textId="046B89E9" w:rsidR="00FF5EE5" w:rsidRPr="000E653F" w:rsidRDefault="006016E6" w:rsidP="004404EA">
            <w:pPr>
              <w:spacing w:before="60" w:after="60"/>
              <w:rPr>
                <w:rFonts w:cs="Arial"/>
                <w:lang w:val="en-CA"/>
              </w:rPr>
            </w:pPr>
            <w:r>
              <w:rPr>
                <w:rFonts w:cs="Arial"/>
                <w:lang w:val="en-CA"/>
              </w:rPr>
              <w:t>Recommendation adopted by Committee as presented per Resolution CW180-19;</w:t>
            </w:r>
            <w:r w:rsidR="00301CEB">
              <w:rPr>
                <w:rFonts w:cs="Arial"/>
                <w:lang w:val="en-CA"/>
              </w:rPr>
              <w:t xml:space="preserve"> Resolution CW180-19 was amended by Council September 26, 2019 per Resolution CC76-19.</w:t>
            </w:r>
            <w:bookmarkStart w:id="0" w:name="_GoBack"/>
            <w:bookmarkEnd w:id="0"/>
          </w:p>
        </w:tc>
      </w:tr>
    </w:tbl>
    <w:p w14:paraId="6C593DFC" w14:textId="77777777" w:rsidR="00AC3A8B" w:rsidRPr="000E653F" w:rsidRDefault="00FB203E" w:rsidP="00FF5EE5">
      <w:pPr>
        <w:pStyle w:val="Heading2"/>
        <w:keepNext w:val="0"/>
        <w:widowControl w:val="0"/>
        <w:spacing w:before="360"/>
        <w:rPr>
          <w:rFonts w:cs="Arial"/>
        </w:rPr>
      </w:pPr>
      <w:r w:rsidRPr="000E653F">
        <w:rPr>
          <w:rFonts w:cs="Arial"/>
        </w:rPr>
        <w:t>Recommendation</w:t>
      </w:r>
    </w:p>
    <w:p w14:paraId="1F36C86F" w14:textId="5406EB9C" w:rsidR="00AE3631" w:rsidRDefault="00D72FA0" w:rsidP="00B97DD0">
      <w:pPr>
        <w:pStyle w:val="ListParagraph"/>
        <w:widowControl w:val="0"/>
        <w:numPr>
          <w:ilvl w:val="0"/>
          <w:numId w:val="2"/>
        </w:numPr>
        <w:contextualSpacing w:val="0"/>
        <w:rPr>
          <w:rFonts w:cs="Arial"/>
          <w:b/>
        </w:rPr>
      </w:pPr>
      <w:bookmarkStart w:id="1" w:name="_Hlk15043630"/>
      <w:r>
        <w:rPr>
          <w:rFonts w:cs="Arial"/>
          <w:b/>
        </w:rPr>
        <w:t xml:space="preserve">That </w:t>
      </w:r>
      <w:r w:rsidR="0085603A">
        <w:rPr>
          <w:rFonts w:cs="Arial"/>
          <w:b/>
        </w:rPr>
        <w:t xml:space="preserve">Report </w:t>
      </w:r>
      <w:r>
        <w:rPr>
          <w:rFonts w:cs="Arial"/>
          <w:b/>
        </w:rPr>
        <w:t>PDR-</w:t>
      </w:r>
      <w:r w:rsidRPr="0034624F">
        <w:rPr>
          <w:rFonts w:cs="Arial"/>
          <w:b/>
        </w:rPr>
        <w:t>CW-</w:t>
      </w:r>
      <w:r w:rsidR="0034624F" w:rsidRPr="0034624F">
        <w:rPr>
          <w:rFonts w:cs="Arial"/>
          <w:b/>
        </w:rPr>
        <w:t>3</w:t>
      </w:r>
      <w:r w:rsidR="00E1265F">
        <w:rPr>
          <w:rFonts w:cs="Arial"/>
          <w:b/>
        </w:rPr>
        <w:t>6</w:t>
      </w:r>
      <w:r w:rsidRPr="0034624F">
        <w:rPr>
          <w:rFonts w:cs="Arial"/>
          <w:b/>
        </w:rPr>
        <w:t>-19</w:t>
      </w:r>
      <w:r>
        <w:rPr>
          <w:rFonts w:cs="Arial"/>
          <w:b/>
        </w:rPr>
        <w:t xml:space="preserve"> be received, </w:t>
      </w:r>
      <w:r w:rsidR="00AE3631">
        <w:rPr>
          <w:rFonts w:cs="Arial"/>
          <w:b/>
        </w:rPr>
        <w:t>and</w:t>
      </w:r>
    </w:p>
    <w:p w14:paraId="36ABD333" w14:textId="7302154F" w:rsidR="00AC3A8B" w:rsidRDefault="00AE3631" w:rsidP="00B97DD0">
      <w:pPr>
        <w:pStyle w:val="ListParagraph"/>
        <w:widowControl w:val="0"/>
        <w:numPr>
          <w:ilvl w:val="0"/>
          <w:numId w:val="2"/>
        </w:numPr>
        <w:contextualSpacing w:val="0"/>
        <w:rPr>
          <w:rFonts w:cs="Arial"/>
          <w:b/>
        </w:rPr>
      </w:pPr>
      <w:r>
        <w:rPr>
          <w:rFonts w:cs="Arial"/>
          <w:b/>
        </w:rPr>
        <w:t>T</w:t>
      </w:r>
      <w:r w:rsidR="00D72FA0">
        <w:rPr>
          <w:rFonts w:cs="Arial"/>
          <w:b/>
        </w:rPr>
        <w:t xml:space="preserve">hat </w:t>
      </w:r>
      <w:r>
        <w:rPr>
          <w:rFonts w:cs="Arial"/>
          <w:b/>
        </w:rPr>
        <w:t>the County hereby approves section</w:t>
      </w:r>
      <w:r w:rsidR="0085603A">
        <w:rPr>
          <w:rFonts w:cs="Arial"/>
          <w:b/>
        </w:rPr>
        <w:t>s</w:t>
      </w:r>
      <w:r>
        <w:rPr>
          <w:rFonts w:cs="Arial"/>
          <w:b/>
        </w:rPr>
        <w:t xml:space="preserve"> B2.5 </w:t>
      </w:r>
      <w:r w:rsidR="0085603A">
        <w:rPr>
          <w:rFonts w:cs="Arial"/>
          <w:b/>
        </w:rPr>
        <w:t xml:space="preserve">and </w:t>
      </w:r>
      <w:r w:rsidR="0085603A" w:rsidRPr="0085603A">
        <w:rPr>
          <w:b/>
        </w:rPr>
        <w:t xml:space="preserve">B3.7.6.14 </w:t>
      </w:r>
      <w:r>
        <w:rPr>
          <w:rFonts w:cs="Arial"/>
          <w:b/>
        </w:rPr>
        <w:t>of the Town of The Blue Mountains Official Plan</w:t>
      </w:r>
      <w:r w:rsidR="007963DF">
        <w:rPr>
          <w:rFonts w:cs="Arial"/>
          <w:b/>
        </w:rPr>
        <w:t>, subject to the following modifications attached to Report PRD-CW-36-19 as Schedule 1 dated September 12, 2019</w:t>
      </w:r>
      <w:r>
        <w:rPr>
          <w:rFonts w:cs="Arial"/>
          <w:b/>
        </w:rPr>
        <w:t>.</w:t>
      </w:r>
    </w:p>
    <w:bookmarkEnd w:id="1"/>
    <w:p w14:paraId="78D21F85" w14:textId="77777777" w:rsidR="00CD64E9" w:rsidRPr="000E653F" w:rsidRDefault="00CD64E9" w:rsidP="006E00FA">
      <w:pPr>
        <w:pStyle w:val="Heading2"/>
        <w:keepNext w:val="0"/>
        <w:widowControl w:val="0"/>
        <w:rPr>
          <w:rFonts w:cs="Arial"/>
        </w:rPr>
      </w:pPr>
      <w:r w:rsidRPr="000E653F">
        <w:rPr>
          <w:rFonts w:cs="Arial"/>
        </w:rPr>
        <w:t>Executive Summary</w:t>
      </w:r>
    </w:p>
    <w:p w14:paraId="2D25B5E2" w14:textId="695FA501" w:rsidR="00AE3631" w:rsidRPr="00AE3631" w:rsidRDefault="00846FB1" w:rsidP="00AE3631">
      <w:pPr>
        <w:autoSpaceDE w:val="0"/>
        <w:autoSpaceDN w:val="0"/>
        <w:adjustRightInd w:val="0"/>
        <w:rPr>
          <w:rFonts w:cs="Arial"/>
          <w:lang w:val="en"/>
        </w:rPr>
      </w:pPr>
      <w:r w:rsidRPr="00964A80">
        <w:rPr>
          <w:rFonts w:cs="Arial"/>
          <w:lang w:val="en"/>
        </w:rPr>
        <w:t xml:space="preserve">The </w:t>
      </w:r>
      <w:r w:rsidR="00AE3631">
        <w:rPr>
          <w:rFonts w:cs="Arial"/>
          <w:lang w:val="en"/>
        </w:rPr>
        <w:t>County of Grey approved th</w:t>
      </w:r>
      <w:r w:rsidR="00AE3631" w:rsidRPr="00AE3631">
        <w:rPr>
          <w:rFonts w:cs="Arial"/>
          <w:lang w:val="en"/>
        </w:rPr>
        <w:t xml:space="preserve">e new Town of The Blue Mountains Official Plan in </w:t>
      </w:r>
      <w:r w:rsidR="00AE3631">
        <w:rPr>
          <w:rFonts w:cs="Arial"/>
          <w:lang w:val="en"/>
        </w:rPr>
        <w:t xml:space="preserve">June </w:t>
      </w:r>
      <w:r w:rsidR="00AE3631" w:rsidRPr="00AE3631">
        <w:rPr>
          <w:rFonts w:cs="Arial"/>
          <w:lang w:val="en"/>
        </w:rPr>
        <w:t xml:space="preserve">2016.  At that time the County withheld the decision </w:t>
      </w:r>
      <w:r w:rsidR="00AE3631" w:rsidRPr="00AE3631">
        <w:rPr>
          <w:rFonts w:cs="Arial"/>
          <w:bCs/>
        </w:rPr>
        <w:t>on section B2.5</w:t>
      </w:r>
      <w:r w:rsidR="00AE3631">
        <w:rPr>
          <w:rFonts w:cs="Arial"/>
          <w:bCs/>
        </w:rPr>
        <w:t xml:space="preserve"> </w:t>
      </w:r>
      <w:r w:rsidR="00AE3631" w:rsidRPr="00AE3631">
        <w:rPr>
          <w:rFonts w:cs="Arial"/>
          <w:bCs/>
        </w:rPr>
        <w:t>of the Plan, regarding Short Term Accommodations,</w:t>
      </w:r>
      <w:r w:rsidR="00AE3631" w:rsidRPr="00AE3631">
        <w:rPr>
          <w:rFonts w:cs="Arial"/>
          <w:lang w:val="en"/>
        </w:rPr>
        <w:t xml:space="preserve"> </w:t>
      </w:r>
      <w:r w:rsidR="00AE3631">
        <w:rPr>
          <w:rFonts w:cs="Arial"/>
          <w:lang w:val="en"/>
        </w:rPr>
        <w:t xml:space="preserve">pending some additional work </w:t>
      </w:r>
      <w:r w:rsidR="0085603A">
        <w:rPr>
          <w:rFonts w:cs="Arial"/>
          <w:lang w:val="en"/>
        </w:rPr>
        <w:t xml:space="preserve">to be completed </w:t>
      </w:r>
      <w:r w:rsidR="00AE3631">
        <w:rPr>
          <w:rFonts w:cs="Arial"/>
          <w:lang w:val="en"/>
        </w:rPr>
        <w:t xml:space="preserve">by the Town. The Town has now completed their additional work on the </w:t>
      </w:r>
      <w:proofErr w:type="gramStart"/>
      <w:r w:rsidR="00AE3631">
        <w:rPr>
          <w:rFonts w:cs="Arial"/>
          <w:lang w:val="en"/>
        </w:rPr>
        <w:t>Short Term</w:t>
      </w:r>
      <w:proofErr w:type="gramEnd"/>
      <w:r w:rsidR="00AE3631">
        <w:rPr>
          <w:rFonts w:cs="Arial"/>
          <w:lang w:val="en"/>
        </w:rPr>
        <w:t xml:space="preserve"> </w:t>
      </w:r>
      <w:r w:rsidR="004323C1">
        <w:rPr>
          <w:rFonts w:cs="Arial"/>
          <w:lang w:val="en"/>
        </w:rPr>
        <w:t>A</w:t>
      </w:r>
      <w:r w:rsidR="00AE3631">
        <w:rPr>
          <w:rFonts w:cs="Arial"/>
          <w:lang w:val="en"/>
        </w:rPr>
        <w:t>ccommodations, which included public consultation</w:t>
      </w:r>
      <w:r w:rsidR="0085603A">
        <w:rPr>
          <w:rFonts w:cs="Arial"/>
          <w:lang w:val="en"/>
        </w:rPr>
        <w:t xml:space="preserve">, on official plan, zoning and licensing provisions. Town staff have now </w:t>
      </w:r>
      <w:r w:rsidR="00AE3631">
        <w:rPr>
          <w:rFonts w:cs="Arial"/>
          <w:lang w:val="en"/>
        </w:rPr>
        <w:t xml:space="preserve">forwarded </w:t>
      </w:r>
      <w:r w:rsidR="0085603A">
        <w:rPr>
          <w:rFonts w:cs="Arial"/>
          <w:lang w:val="en"/>
        </w:rPr>
        <w:t xml:space="preserve">proposed </w:t>
      </w:r>
      <w:r w:rsidR="00AE3631">
        <w:rPr>
          <w:rFonts w:cs="Arial"/>
          <w:lang w:val="en"/>
        </w:rPr>
        <w:t xml:space="preserve">new Official Plan policies to be </w:t>
      </w:r>
      <w:r w:rsidR="0085603A">
        <w:rPr>
          <w:rFonts w:cs="Arial"/>
          <w:lang w:val="en"/>
        </w:rPr>
        <w:t xml:space="preserve">considered and </w:t>
      </w:r>
      <w:r w:rsidR="00AE3631">
        <w:rPr>
          <w:rFonts w:cs="Arial"/>
          <w:lang w:val="en"/>
        </w:rPr>
        <w:t>approved</w:t>
      </w:r>
      <w:r w:rsidR="0085603A">
        <w:rPr>
          <w:rFonts w:cs="Arial"/>
          <w:lang w:val="en"/>
        </w:rPr>
        <w:t xml:space="preserve"> by the County</w:t>
      </w:r>
      <w:r w:rsidR="00AE3631">
        <w:rPr>
          <w:rFonts w:cs="Arial"/>
          <w:lang w:val="en"/>
        </w:rPr>
        <w:t xml:space="preserve">. The new </w:t>
      </w:r>
      <w:proofErr w:type="gramStart"/>
      <w:r w:rsidR="00AE3631">
        <w:rPr>
          <w:rFonts w:cs="Arial"/>
          <w:lang w:val="en"/>
        </w:rPr>
        <w:t>Short Term</w:t>
      </w:r>
      <w:proofErr w:type="gramEnd"/>
      <w:r w:rsidR="00AE3631">
        <w:rPr>
          <w:rFonts w:cs="Arial"/>
          <w:lang w:val="en"/>
        </w:rPr>
        <w:t xml:space="preserve"> Accommodations policies are very similar to the policies in the previous Town of The Blue Mountains Official Plan, and County staff are recommending them for approval</w:t>
      </w:r>
      <w:r w:rsidR="00D9058F">
        <w:rPr>
          <w:rFonts w:cs="Arial"/>
          <w:lang w:val="en"/>
        </w:rPr>
        <w:t xml:space="preserve"> with two minor modifications, as shown in Schedule 1</w:t>
      </w:r>
      <w:r w:rsidR="00AE3631">
        <w:rPr>
          <w:rFonts w:cs="Arial"/>
          <w:lang w:val="en"/>
        </w:rPr>
        <w:t>.</w:t>
      </w:r>
    </w:p>
    <w:p w14:paraId="76180634" w14:textId="77777777" w:rsidR="00AC3A8B" w:rsidRPr="000E653F" w:rsidRDefault="00AC3A8B" w:rsidP="006E00FA">
      <w:pPr>
        <w:pStyle w:val="Heading2"/>
        <w:keepNext w:val="0"/>
        <w:widowControl w:val="0"/>
        <w:rPr>
          <w:rFonts w:cs="Arial"/>
        </w:rPr>
      </w:pPr>
      <w:r w:rsidRPr="000E653F">
        <w:rPr>
          <w:rFonts w:cs="Arial"/>
        </w:rPr>
        <w:lastRenderedPageBreak/>
        <w:t>Background</w:t>
      </w:r>
      <w:r w:rsidR="00CD64E9" w:rsidRPr="000E653F">
        <w:rPr>
          <w:rFonts w:cs="Arial"/>
        </w:rPr>
        <w:t xml:space="preserve"> and Discussion</w:t>
      </w:r>
    </w:p>
    <w:p w14:paraId="2AA36E16" w14:textId="774AA0A4" w:rsidR="002E0396" w:rsidRDefault="00AE3631" w:rsidP="00691159">
      <w:pPr>
        <w:widowControl w:val="0"/>
        <w:rPr>
          <w:lang w:val="en"/>
        </w:rPr>
      </w:pPr>
      <w:r>
        <w:rPr>
          <w:lang w:val="en"/>
        </w:rPr>
        <w:t>On June 21, 2016 the County approved the new Town of The Blue Mountains Official Plan</w:t>
      </w:r>
      <w:r w:rsidR="004A1E43">
        <w:rPr>
          <w:lang w:val="en"/>
        </w:rPr>
        <w:t xml:space="preserve"> (TOTBMOP)</w:t>
      </w:r>
      <w:r>
        <w:rPr>
          <w:lang w:val="en"/>
        </w:rPr>
        <w:t>.  At that time the County passed the following motion;</w:t>
      </w:r>
    </w:p>
    <w:p w14:paraId="41496C18" w14:textId="150F8857" w:rsidR="00AE3631" w:rsidRPr="004A1E43" w:rsidRDefault="004A1E43" w:rsidP="004A1E43">
      <w:pPr>
        <w:autoSpaceDE w:val="0"/>
        <w:autoSpaceDN w:val="0"/>
        <w:adjustRightInd w:val="0"/>
        <w:ind w:left="720"/>
        <w:rPr>
          <w:rFonts w:cs="Arial"/>
          <w:b/>
          <w:bCs/>
        </w:rPr>
      </w:pPr>
      <w:r>
        <w:rPr>
          <w:rFonts w:cs="Arial"/>
          <w:b/>
          <w:bCs/>
        </w:rPr>
        <w:t>“</w:t>
      </w:r>
      <w:r w:rsidR="00AE3631" w:rsidRPr="004A1E43">
        <w:rPr>
          <w:rFonts w:cs="Arial"/>
          <w:b/>
          <w:bCs/>
        </w:rPr>
        <w:t>THAT the Planning and Community Development Committee hereby approves the “Town of The Blue Mountains Official Plan” as adopted</w:t>
      </w:r>
      <w:r w:rsidRPr="004A1E43">
        <w:rPr>
          <w:rFonts w:cs="Arial"/>
          <w:b/>
          <w:bCs/>
        </w:rPr>
        <w:t xml:space="preserve"> </w:t>
      </w:r>
      <w:r w:rsidR="00AE3631" w:rsidRPr="004A1E43">
        <w:rPr>
          <w:rFonts w:cs="Arial"/>
          <w:b/>
          <w:bCs/>
        </w:rPr>
        <w:t>by By-law No. 2014-56, subject to the following modifications</w:t>
      </w:r>
      <w:r w:rsidRPr="004A1E43">
        <w:rPr>
          <w:rFonts w:cs="Arial"/>
          <w:b/>
          <w:bCs/>
        </w:rPr>
        <w:t xml:space="preserve"> </w:t>
      </w:r>
      <w:r w:rsidR="00AE3631" w:rsidRPr="004A1E43">
        <w:rPr>
          <w:rFonts w:cs="Arial"/>
          <w:b/>
          <w:bCs/>
        </w:rPr>
        <w:t>attached to Report PDR-PCD-22-16 as Schedule 1 and dated June 21,</w:t>
      </w:r>
      <w:r w:rsidRPr="004A1E43">
        <w:rPr>
          <w:rFonts w:cs="Arial"/>
          <w:b/>
          <w:bCs/>
        </w:rPr>
        <w:t xml:space="preserve"> </w:t>
      </w:r>
      <w:r w:rsidR="00AE3631" w:rsidRPr="004A1E43">
        <w:rPr>
          <w:rFonts w:cs="Arial"/>
          <w:b/>
          <w:bCs/>
        </w:rPr>
        <w:t>2016;</w:t>
      </w:r>
    </w:p>
    <w:p w14:paraId="35B4BBAD" w14:textId="5AE9871C" w:rsidR="00AE3631" w:rsidRDefault="00AE3631" w:rsidP="004A1E43">
      <w:pPr>
        <w:autoSpaceDE w:val="0"/>
        <w:autoSpaceDN w:val="0"/>
        <w:adjustRightInd w:val="0"/>
        <w:ind w:left="720"/>
        <w:rPr>
          <w:rFonts w:cs="Arial"/>
          <w:b/>
          <w:bCs/>
        </w:rPr>
      </w:pPr>
      <w:r w:rsidRPr="004A1E43">
        <w:rPr>
          <w:rFonts w:cs="Arial"/>
          <w:b/>
          <w:bCs/>
        </w:rPr>
        <w:t>AND FURTHER THAT the County withhold a decision on section B2.5</w:t>
      </w:r>
      <w:r w:rsidR="004A1E43" w:rsidRPr="004A1E43">
        <w:rPr>
          <w:rFonts w:cs="Arial"/>
          <w:b/>
          <w:bCs/>
        </w:rPr>
        <w:t xml:space="preserve"> </w:t>
      </w:r>
      <w:r w:rsidRPr="004A1E43">
        <w:rPr>
          <w:rFonts w:cs="Arial"/>
          <w:b/>
          <w:bCs/>
        </w:rPr>
        <w:t xml:space="preserve">of the Plan, regarding </w:t>
      </w:r>
      <w:r w:rsidR="004A1E43" w:rsidRPr="004A1E43">
        <w:rPr>
          <w:rFonts w:cs="Arial"/>
          <w:b/>
          <w:bCs/>
        </w:rPr>
        <w:t>S</w:t>
      </w:r>
      <w:r w:rsidRPr="004A1E43">
        <w:rPr>
          <w:rFonts w:cs="Arial"/>
          <w:b/>
          <w:bCs/>
        </w:rPr>
        <w:t>hort Term Accommodations, pending the</w:t>
      </w:r>
      <w:r w:rsidR="004A1E43" w:rsidRPr="004A1E43">
        <w:rPr>
          <w:rFonts w:cs="Arial"/>
          <w:b/>
          <w:bCs/>
        </w:rPr>
        <w:t xml:space="preserve"> </w:t>
      </w:r>
      <w:r w:rsidRPr="004A1E43">
        <w:rPr>
          <w:rFonts w:cs="Arial"/>
          <w:b/>
          <w:bCs/>
        </w:rPr>
        <w:t>presentation of future draft zoning provisions to accompany this</w:t>
      </w:r>
      <w:r w:rsidR="004A1E43" w:rsidRPr="004A1E43">
        <w:rPr>
          <w:rFonts w:cs="Arial"/>
          <w:b/>
          <w:bCs/>
        </w:rPr>
        <w:t xml:space="preserve"> </w:t>
      </w:r>
      <w:r w:rsidRPr="004A1E43">
        <w:rPr>
          <w:rFonts w:cs="Arial"/>
          <w:b/>
          <w:bCs/>
        </w:rPr>
        <w:t>section of the Plan.</w:t>
      </w:r>
      <w:r w:rsidR="004A1E43">
        <w:rPr>
          <w:rFonts w:cs="Arial"/>
          <w:b/>
          <w:bCs/>
        </w:rPr>
        <w:t>”</w:t>
      </w:r>
    </w:p>
    <w:p w14:paraId="4BF12BFE" w14:textId="435DA5CB" w:rsidR="004A1E43" w:rsidRDefault="004A1E43" w:rsidP="004A1E43">
      <w:pPr>
        <w:autoSpaceDE w:val="0"/>
        <w:autoSpaceDN w:val="0"/>
        <w:adjustRightInd w:val="0"/>
        <w:rPr>
          <w:rFonts w:cs="Arial"/>
          <w:bCs/>
        </w:rPr>
      </w:pPr>
      <w:r>
        <w:rPr>
          <w:rFonts w:cs="Arial"/>
          <w:bCs/>
        </w:rPr>
        <w:t>A link to staff report PDR-PCD-22-16 and the addendum report have been included in the Attachments section of this report.  Following the County’s decision on the TOTBMOP</w:t>
      </w:r>
      <w:r w:rsidR="0085603A">
        <w:rPr>
          <w:rFonts w:cs="Arial"/>
          <w:bCs/>
        </w:rPr>
        <w:t>,</w:t>
      </w:r>
      <w:r>
        <w:rPr>
          <w:rFonts w:cs="Arial"/>
          <w:bCs/>
        </w:rPr>
        <w:t xml:space="preserve"> portions of the Official Plan were appealed to the Ontario Municipal Board (OMB), which has now been replaced by the Local Planning Appeal Tribunal (LPAT).  Some of those appeals have since been resolved and one appeal remains active</w:t>
      </w:r>
      <w:r w:rsidR="004323C1">
        <w:rPr>
          <w:rFonts w:cs="Arial"/>
          <w:bCs/>
        </w:rPr>
        <w:t xml:space="preserve"> on a site-specific basis</w:t>
      </w:r>
      <w:r>
        <w:rPr>
          <w:rFonts w:cs="Arial"/>
          <w:bCs/>
        </w:rPr>
        <w:t xml:space="preserve">.  None of the appeals related to Short Term Accommodations (STA), as the County withheld their decision on the STA policies.  </w:t>
      </w:r>
    </w:p>
    <w:p w14:paraId="02D12305" w14:textId="312D48C9" w:rsidR="004A1E43" w:rsidRDefault="004A1E43" w:rsidP="004A1E43">
      <w:pPr>
        <w:autoSpaceDE w:val="0"/>
        <w:autoSpaceDN w:val="0"/>
        <w:adjustRightInd w:val="0"/>
        <w:rPr>
          <w:rFonts w:cs="Arial"/>
          <w:bCs/>
        </w:rPr>
      </w:pPr>
      <w:r>
        <w:rPr>
          <w:rFonts w:cs="Arial"/>
          <w:bCs/>
        </w:rPr>
        <w:t>Since 2016 Town staff and Council have completed their review of the STA official plan and zoning policies as well as the Town’s STA licensing by-law. T</w:t>
      </w:r>
      <w:r w:rsidR="007943C7">
        <w:rPr>
          <w:rFonts w:cs="Arial"/>
          <w:bCs/>
        </w:rPr>
        <w:t>hrough a resolution dated May 13</w:t>
      </w:r>
      <w:r w:rsidR="007943C7" w:rsidRPr="007943C7">
        <w:rPr>
          <w:rFonts w:cs="Arial"/>
          <w:bCs/>
          <w:vertAlign w:val="superscript"/>
        </w:rPr>
        <w:t>th</w:t>
      </w:r>
      <w:r w:rsidR="007943C7">
        <w:rPr>
          <w:rFonts w:cs="Arial"/>
          <w:bCs/>
        </w:rPr>
        <w:t>, 2019, t</w:t>
      </w:r>
      <w:r>
        <w:rPr>
          <w:rFonts w:cs="Arial"/>
          <w:bCs/>
        </w:rPr>
        <w:t xml:space="preserve">he Town has now forwarded new STA official plan policies for the County’s </w:t>
      </w:r>
      <w:r w:rsidR="0085603A">
        <w:rPr>
          <w:rFonts w:cs="Arial"/>
          <w:bCs/>
        </w:rPr>
        <w:t xml:space="preserve">consideration and </w:t>
      </w:r>
      <w:r>
        <w:rPr>
          <w:rFonts w:cs="Arial"/>
          <w:bCs/>
        </w:rPr>
        <w:t>approval in the 2016 TOTBMOP.</w:t>
      </w:r>
    </w:p>
    <w:p w14:paraId="2927EA79" w14:textId="5A61AC63" w:rsidR="004323C1" w:rsidRDefault="004A1E43" w:rsidP="004B1BF9">
      <w:pPr>
        <w:autoSpaceDE w:val="0"/>
        <w:autoSpaceDN w:val="0"/>
        <w:adjustRightInd w:val="0"/>
        <w:rPr>
          <w:rFonts w:cs="Arial"/>
          <w:bCs/>
        </w:rPr>
      </w:pPr>
      <w:r>
        <w:rPr>
          <w:rFonts w:cs="Arial"/>
          <w:bCs/>
        </w:rPr>
        <w:t>Prior to the new TOTBMOP, the Town had STA policies in their previous official plan</w:t>
      </w:r>
      <w:r w:rsidR="00265337">
        <w:rPr>
          <w:rFonts w:cs="Arial"/>
          <w:bCs/>
        </w:rPr>
        <w:t xml:space="preserve"> approved via Official Plan Amendment </w:t>
      </w:r>
      <w:r w:rsidR="00262C24">
        <w:rPr>
          <w:rFonts w:cs="Arial"/>
          <w:bCs/>
        </w:rPr>
        <w:t xml:space="preserve">(OPA) </w:t>
      </w:r>
      <w:r w:rsidR="00265337">
        <w:rPr>
          <w:rFonts w:cs="Arial"/>
          <w:bCs/>
        </w:rPr>
        <w:t># 11</w:t>
      </w:r>
      <w:r>
        <w:rPr>
          <w:rFonts w:cs="Arial"/>
          <w:bCs/>
        </w:rPr>
        <w:t xml:space="preserve">.  At the time those previous policies were approved, they were appealed to the OMB, and later approved by the OMB.  </w:t>
      </w:r>
      <w:r w:rsidR="0085603A">
        <w:rPr>
          <w:rFonts w:cs="Arial"/>
          <w:bCs/>
        </w:rPr>
        <w:t>W</w:t>
      </w:r>
      <w:r w:rsidR="004323C1">
        <w:rPr>
          <w:rFonts w:cs="Arial"/>
          <w:bCs/>
        </w:rPr>
        <w:t>hen OPA 11 was passed</w:t>
      </w:r>
      <w:r w:rsidR="0085603A">
        <w:rPr>
          <w:rFonts w:cs="Arial"/>
          <w:bCs/>
        </w:rPr>
        <w:t>,</w:t>
      </w:r>
      <w:r w:rsidR="004323C1">
        <w:rPr>
          <w:rFonts w:cs="Arial"/>
          <w:bCs/>
        </w:rPr>
        <w:t xml:space="preserve"> the Town became a leader in the Province in trying to regulate STA uses, which had not yet ‘exploded in popularity’ in the way they now have through the sharing economy. </w:t>
      </w:r>
    </w:p>
    <w:p w14:paraId="2B4FC4FD" w14:textId="701F26DB" w:rsidR="004A1E43" w:rsidRDefault="004A1E43" w:rsidP="004B1BF9">
      <w:pPr>
        <w:autoSpaceDE w:val="0"/>
        <w:autoSpaceDN w:val="0"/>
        <w:adjustRightInd w:val="0"/>
        <w:rPr>
          <w:rFonts w:cs="Arial"/>
          <w:bCs/>
        </w:rPr>
      </w:pPr>
      <w:r>
        <w:rPr>
          <w:rFonts w:cs="Arial"/>
          <w:bCs/>
        </w:rPr>
        <w:t>The intent throughout the new TOTBMOP was to keep the new policies as similar as possible to the original STA policies approved by the OMB.  Based on the new TOTBMOP and some changed designations and policies</w:t>
      </w:r>
      <w:r w:rsidR="0085603A">
        <w:rPr>
          <w:rFonts w:cs="Arial"/>
          <w:bCs/>
        </w:rPr>
        <w:t>,</w:t>
      </w:r>
      <w:r>
        <w:rPr>
          <w:rFonts w:cs="Arial"/>
          <w:bCs/>
        </w:rPr>
        <w:t xml:space="preserve"> it was not possible to </w:t>
      </w:r>
      <w:r w:rsidR="007943C7">
        <w:rPr>
          <w:rFonts w:cs="Arial"/>
          <w:bCs/>
        </w:rPr>
        <w:t xml:space="preserve">duplicate the earlier policies exactly, but the strategy was to maintain the wording and intent of the policies </w:t>
      </w:r>
      <w:r w:rsidR="007943C7" w:rsidRPr="004B1BF9">
        <w:rPr>
          <w:rFonts w:cs="Arial"/>
          <w:bCs/>
        </w:rPr>
        <w:t>as much as possible.</w:t>
      </w:r>
    </w:p>
    <w:p w14:paraId="64A02DDB" w14:textId="77777777" w:rsidR="004B1BF9" w:rsidRPr="004B1BF9" w:rsidRDefault="004B1BF9" w:rsidP="004B1BF9">
      <w:pPr>
        <w:pStyle w:val="Default"/>
        <w:spacing w:after="200" w:line="276" w:lineRule="auto"/>
        <w:rPr>
          <w:rFonts w:ascii="Arial" w:hAnsi="Arial" w:cs="Arial"/>
        </w:rPr>
      </w:pPr>
      <w:r w:rsidRPr="004B1BF9">
        <w:rPr>
          <w:rFonts w:ascii="Arial" w:hAnsi="Arial" w:cs="Arial"/>
          <w:bCs/>
        </w:rPr>
        <w:t xml:space="preserve">The current TOTBMOP contains definition for </w:t>
      </w:r>
      <w:r>
        <w:rPr>
          <w:rFonts w:ascii="Arial" w:hAnsi="Arial" w:cs="Arial"/>
          <w:bCs/>
        </w:rPr>
        <w:t>‘</w:t>
      </w:r>
      <w:r w:rsidRPr="004B1BF9">
        <w:rPr>
          <w:rFonts w:ascii="Arial" w:hAnsi="Arial" w:cs="Arial"/>
          <w:bCs/>
        </w:rPr>
        <w:t>Short Term Accommodation</w:t>
      </w:r>
      <w:r>
        <w:rPr>
          <w:rFonts w:ascii="Arial" w:hAnsi="Arial" w:cs="Arial"/>
          <w:bCs/>
        </w:rPr>
        <w:t>’ as follows;</w:t>
      </w:r>
      <w:r w:rsidRPr="004B1BF9">
        <w:rPr>
          <w:rFonts w:ascii="Arial" w:hAnsi="Arial" w:cs="Arial"/>
          <w:bCs/>
        </w:rPr>
        <w:t xml:space="preserve"> </w:t>
      </w:r>
    </w:p>
    <w:p w14:paraId="700C060B" w14:textId="77777777" w:rsidR="004B1BF9" w:rsidRPr="004B1BF9" w:rsidRDefault="004B1BF9" w:rsidP="004B1BF9">
      <w:pPr>
        <w:autoSpaceDE w:val="0"/>
        <w:autoSpaceDN w:val="0"/>
        <w:adjustRightInd w:val="0"/>
        <w:ind w:left="720"/>
        <w:rPr>
          <w:rFonts w:cs="Arial"/>
          <w:bCs/>
          <w:i/>
        </w:rPr>
      </w:pPr>
      <w:r w:rsidRPr="004B1BF9">
        <w:rPr>
          <w:rFonts w:cs="Arial"/>
          <w:i/>
          <w:color w:val="000000"/>
        </w:rPr>
        <w:t xml:space="preserve">“Means a building or structure or any part thereof that operates or offers a place of temporary residence, lodging or occupancy by way of concession, permit, </w:t>
      </w:r>
      <w:r w:rsidRPr="004B1BF9">
        <w:rPr>
          <w:rFonts w:cs="Arial"/>
          <w:i/>
          <w:color w:val="000000"/>
        </w:rPr>
        <w:lastRenderedPageBreak/>
        <w:t xml:space="preserve">lease, license, rental agreement or similar commercial arrangement for any period less than thirty (30) consecutive calendar days, throughout all or any part of a calendar year. </w:t>
      </w:r>
      <w:r w:rsidRPr="004B1BF9">
        <w:rPr>
          <w:rFonts w:cs="Arial"/>
          <w:i/>
          <w:iCs/>
          <w:color w:val="000000"/>
        </w:rPr>
        <w:t xml:space="preserve">Short term accommodation </w:t>
      </w:r>
      <w:r w:rsidRPr="004B1BF9">
        <w:rPr>
          <w:rFonts w:cs="Arial"/>
          <w:i/>
          <w:color w:val="000000"/>
        </w:rPr>
        <w:t xml:space="preserve">shall not mean or include a motel, hotel, bed and breakfast establishment, tourist cabin or cottage, hospital, commercial resort unit, village commercial resort unit or similar commercial or </w:t>
      </w:r>
      <w:r w:rsidRPr="004B1BF9">
        <w:rPr>
          <w:rFonts w:cs="Arial"/>
          <w:i/>
          <w:iCs/>
          <w:color w:val="000000"/>
        </w:rPr>
        <w:t>institutional use</w:t>
      </w:r>
      <w:r w:rsidRPr="004B1BF9">
        <w:rPr>
          <w:rFonts w:cs="Arial"/>
          <w:i/>
          <w:color w:val="000000"/>
        </w:rPr>
        <w:t>.”</w:t>
      </w:r>
    </w:p>
    <w:p w14:paraId="1850CBE2" w14:textId="3C9999C0" w:rsidR="004B1BF9" w:rsidRDefault="004B1BF9" w:rsidP="004B1BF9">
      <w:pPr>
        <w:autoSpaceDE w:val="0"/>
        <w:autoSpaceDN w:val="0"/>
        <w:adjustRightInd w:val="0"/>
        <w:rPr>
          <w:rFonts w:cs="Arial"/>
          <w:bCs/>
        </w:rPr>
      </w:pPr>
      <w:r>
        <w:rPr>
          <w:rFonts w:cs="Arial"/>
          <w:bCs/>
        </w:rPr>
        <w:t xml:space="preserve">The Town regulates STA uses for </w:t>
      </w:r>
      <w:proofErr w:type="gramStart"/>
      <w:r>
        <w:rPr>
          <w:rFonts w:cs="Arial"/>
          <w:bCs/>
        </w:rPr>
        <w:t>a number of</w:t>
      </w:r>
      <w:proofErr w:type="gramEnd"/>
      <w:r>
        <w:rPr>
          <w:rFonts w:cs="Arial"/>
          <w:bCs/>
        </w:rPr>
        <w:t xml:space="preserve"> reasons in a</w:t>
      </w:r>
      <w:r w:rsidR="0085603A">
        <w:rPr>
          <w:rFonts w:cs="Arial"/>
          <w:bCs/>
        </w:rPr>
        <w:t>n</w:t>
      </w:r>
      <w:r>
        <w:rPr>
          <w:rFonts w:cs="Arial"/>
          <w:bCs/>
        </w:rPr>
        <w:t xml:space="preserve"> effort to prevent land use conflict, ensure public health and safety, and to ensure such uses are properly monitored and enforced.  STA uses have traditionally </w:t>
      </w:r>
      <w:r w:rsidR="0085603A">
        <w:rPr>
          <w:rFonts w:cs="Arial"/>
          <w:bCs/>
        </w:rPr>
        <w:t xml:space="preserve">been </w:t>
      </w:r>
      <w:r>
        <w:rPr>
          <w:rFonts w:cs="Arial"/>
          <w:bCs/>
        </w:rPr>
        <w:t>more of a land use ‘issue’ in the Town of The Blue Mountains</w:t>
      </w:r>
      <w:r w:rsidR="0085603A">
        <w:rPr>
          <w:rFonts w:cs="Arial"/>
          <w:bCs/>
        </w:rPr>
        <w:t>,</w:t>
      </w:r>
      <w:r>
        <w:rPr>
          <w:rFonts w:cs="Arial"/>
          <w:bCs/>
        </w:rPr>
        <w:t xml:space="preserve"> versus some of the other municipalities within Grey.</w:t>
      </w:r>
    </w:p>
    <w:p w14:paraId="28E4978A" w14:textId="73A6FEB9" w:rsidR="007943C7" w:rsidRPr="004A1E43" w:rsidRDefault="007943C7" w:rsidP="004A1E43">
      <w:pPr>
        <w:autoSpaceDE w:val="0"/>
        <w:autoSpaceDN w:val="0"/>
        <w:adjustRightInd w:val="0"/>
        <w:rPr>
          <w:rFonts w:cs="Arial"/>
        </w:rPr>
      </w:pPr>
      <w:r>
        <w:rPr>
          <w:rFonts w:cs="Arial"/>
          <w:bCs/>
        </w:rPr>
        <w:t>A link to the Town’s staff reports on the STA policy changes</w:t>
      </w:r>
      <w:r w:rsidR="0085603A">
        <w:rPr>
          <w:rFonts w:cs="Arial"/>
          <w:bCs/>
        </w:rPr>
        <w:t>, including the proposed policies themselves</w:t>
      </w:r>
      <w:r w:rsidR="00392632">
        <w:rPr>
          <w:rFonts w:cs="Arial"/>
          <w:bCs/>
        </w:rPr>
        <w:t xml:space="preserve"> (found at pages 9 – 12 of the Town staff report PDF document)</w:t>
      </w:r>
      <w:r w:rsidR="0085603A">
        <w:rPr>
          <w:rFonts w:cs="Arial"/>
          <w:bCs/>
        </w:rPr>
        <w:t>,</w:t>
      </w:r>
      <w:r>
        <w:rPr>
          <w:rFonts w:cs="Arial"/>
          <w:bCs/>
        </w:rPr>
        <w:t xml:space="preserve"> ha</w:t>
      </w:r>
      <w:r w:rsidR="0085603A">
        <w:rPr>
          <w:rFonts w:cs="Arial"/>
          <w:bCs/>
        </w:rPr>
        <w:t>ve</w:t>
      </w:r>
      <w:r>
        <w:rPr>
          <w:rFonts w:cs="Arial"/>
          <w:bCs/>
        </w:rPr>
        <w:t xml:space="preserve"> been included in the Attachment</w:t>
      </w:r>
      <w:r w:rsidR="0085603A">
        <w:rPr>
          <w:rFonts w:cs="Arial"/>
          <w:bCs/>
        </w:rPr>
        <w:t>s</w:t>
      </w:r>
      <w:r>
        <w:rPr>
          <w:rFonts w:cs="Arial"/>
          <w:bCs/>
        </w:rPr>
        <w:t xml:space="preserve"> section of this report.</w:t>
      </w:r>
      <w:r w:rsidR="00392632">
        <w:rPr>
          <w:rFonts w:cs="Arial"/>
          <w:bCs/>
        </w:rPr>
        <w:t xml:space="preserve"> </w:t>
      </w:r>
    </w:p>
    <w:p w14:paraId="198CD903" w14:textId="738FF91A" w:rsidR="00AB130E" w:rsidRDefault="00AB130E" w:rsidP="00AB130E">
      <w:pPr>
        <w:pStyle w:val="Heading3"/>
      </w:pPr>
      <w:r>
        <w:t>Public and Agency Comments Received</w:t>
      </w:r>
    </w:p>
    <w:p w14:paraId="001C188F" w14:textId="60F28847" w:rsidR="00545D0D" w:rsidRDefault="00265337" w:rsidP="00545D0D">
      <w:pPr>
        <w:rPr>
          <w:rFonts w:cs="Arial"/>
          <w:bCs/>
        </w:rPr>
      </w:pPr>
      <w:r>
        <w:t xml:space="preserve">County staff have not received any further public or agency comments on the STA policies since being forwarded the Town’s proposed policies on May 16, 2019. Copies of the comments received have been included in the Town’s staff reports linked to in the </w:t>
      </w:r>
      <w:r>
        <w:rPr>
          <w:rFonts w:cs="Arial"/>
          <w:bCs/>
        </w:rPr>
        <w:t>Attachment</w:t>
      </w:r>
      <w:r w:rsidR="0085603A">
        <w:rPr>
          <w:rFonts w:cs="Arial"/>
          <w:bCs/>
        </w:rPr>
        <w:t>s</w:t>
      </w:r>
      <w:r>
        <w:rPr>
          <w:rFonts w:cs="Arial"/>
          <w:bCs/>
        </w:rPr>
        <w:t xml:space="preserve"> section of this report.</w:t>
      </w:r>
      <w:r w:rsidR="004B1BF9">
        <w:rPr>
          <w:rFonts w:cs="Arial"/>
          <w:bCs/>
        </w:rPr>
        <w:t xml:space="preserve">  It is worth noting that much of the concern expressed in the comments received relates more directly to;</w:t>
      </w:r>
    </w:p>
    <w:p w14:paraId="20E0B0D4" w14:textId="39ED8781" w:rsidR="004B1BF9" w:rsidRDefault="00262C24" w:rsidP="00262C24">
      <w:pPr>
        <w:pStyle w:val="ListParagraph"/>
        <w:numPr>
          <w:ilvl w:val="0"/>
          <w:numId w:val="16"/>
        </w:numPr>
      </w:pPr>
      <w:r>
        <w:t>proposed zoning provisions,</w:t>
      </w:r>
    </w:p>
    <w:p w14:paraId="7DFEBF14" w14:textId="4AD70298" w:rsidR="00262C24" w:rsidRDefault="00262C24" w:rsidP="00262C24">
      <w:pPr>
        <w:pStyle w:val="ListParagraph"/>
        <w:numPr>
          <w:ilvl w:val="0"/>
          <w:numId w:val="16"/>
        </w:numPr>
      </w:pPr>
      <w:r>
        <w:t xml:space="preserve">proposed changes to the licensing by-law, and </w:t>
      </w:r>
    </w:p>
    <w:p w14:paraId="069FCE9F" w14:textId="312E3721" w:rsidR="00262C24" w:rsidRDefault="00262C24" w:rsidP="00262C24">
      <w:pPr>
        <w:pStyle w:val="ListParagraph"/>
        <w:numPr>
          <w:ilvl w:val="0"/>
          <w:numId w:val="16"/>
        </w:numPr>
      </w:pPr>
      <w:r>
        <w:t>revocation of some existing STA licenses.</w:t>
      </w:r>
    </w:p>
    <w:p w14:paraId="5505C8A0" w14:textId="75E1ED12" w:rsidR="00262C24" w:rsidRDefault="00262C24" w:rsidP="00262C24">
      <w:r>
        <w:t xml:space="preserve">The proposed STA official plan policies are </w:t>
      </w:r>
      <w:proofErr w:type="gramStart"/>
      <w:r>
        <w:t>similar to</w:t>
      </w:r>
      <w:proofErr w:type="gramEnd"/>
      <w:r>
        <w:t xml:space="preserve"> the previous OPA 11 policies.  These policies are somewhat general in </w:t>
      </w:r>
      <w:r w:rsidR="0085603A">
        <w:t>nature but</w:t>
      </w:r>
      <w:r>
        <w:t xml:space="preserve"> are implemented by the specifics in the zoning and licensing by-laws.</w:t>
      </w:r>
    </w:p>
    <w:p w14:paraId="0F2F98A5" w14:textId="2D571061" w:rsidR="00AB130E" w:rsidRDefault="00AB130E" w:rsidP="00AB130E">
      <w:pPr>
        <w:pStyle w:val="Heading2"/>
      </w:pPr>
      <w:r>
        <w:t>Analysis of Planning Issues</w:t>
      </w:r>
    </w:p>
    <w:p w14:paraId="2FFFBC32" w14:textId="2AD924F8" w:rsidR="00AB130E" w:rsidRDefault="00AB130E" w:rsidP="00AB130E">
      <w:r>
        <w:t xml:space="preserve">When rendering a land use planning decision, planning authorities must have regard to matters of Provincial Interest under the </w:t>
      </w:r>
      <w:r>
        <w:rPr>
          <w:i/>
        </w:rPr>
        <w:t>Planning Act</w:t>
      </w:r>
      <w:r>
        <w:t xml:space="preserve">, be consistent with the Provincial Policy Statement (PPS) </w:t>
      </w:r>
      <w:proofErr w:type="gramStart"/>
      <w:r>
        <w:t>2014, and</w:t>
      </w:r>
      <w:proofErr w:type="gramEnd"/>
      <w:r>
        <w:t xml:space="preserve"> conform to any official plans or provincial plans that govern the subject lands. </w:t>
      </w:r>
      <w:r w:rsidR="00265337">
        <w:t>Portions of the Town of The Blue Mountains are covered by the Niagara Escarpment Plan. County staff are not aware of any outstanding conformity issues with the Niagara Escarpment Plan with respect to the proposed STA policies.</w:t>
      </w:r>
      <w:r>
        <w:t xml:space="preserve">  </w:t>
      </w:r>
    </w:p>
    <w:p w14:paraId="38202BA6" w14:textId="77777777" w:rsidR="00AB130E" w:rsidRDefault="00AB130E" w:rsidP="00AB130E">
      <w:pPr>
        <w:pStyle w:val="Heading3"/>
        <w:rPr>
          <w:i/>
        </w:rPr>
      </w:pPr>
      <w:r>
        <w:lastRenderedPageBreak/>
        <w:t>The Planning Act</w:t>
      </w:r>
    </w:p>
    <w:p w14:paraId="78EC6015" w14:textId="641F75FB" w:rsidR="003D3F70" w:rsidRPr="003D3F70" w:rsidRDefault="00AB130E" w:rsidP="00AB130E">
      <w:r>
        <w:t xml:space="preserve">Section 1.1 of the </w:t>
      </w:r>
      <w:r>
        <w:rPr>
          <w:i/>
        </w:rPr>
        <w:t>Planning Act</w:t>
      </w:r>
      <w:r>
        <w:t xml:space="preserve"> outlines the purposes of the Act.  The purposes of the Act promote sustainable economic development, in a healthy natural environment, within a land use planning system led by provincial policy and matters of provincial interest.  Section 2 of the </w:t>
      </w:r>
      <w:r>
        <w:rPr>
          <w:i/>
        </w:rPr>
        <w:t>Planning Act</w:t>
      </w:r>
      <w:r>
        <w:t xml:space="preserve"> outlines matters of Provincial Interest, which decision makers must be consistent with when carrying out their responsibilities under the Act.</w:t>
      </w:r>
      <w:r w:rsidR="00DC3828">
        <w:t xml:space="preserve">  </w:t>
      </w:r>
      <w:r w:rsidR="00627B97">
        <w:t xml:space="preserve">The proposed revisions </w:t>
      </w:r>
      <w:r w:rsidR="003D3F70">
        <w:t xml:space="preserve">are very specific in nature (i.e. relating to STA) and not directly addressed in the matters of Provincial Interest under the </w:t>
      </w:r>
      <w:r w:rsidR="003D3F70">
        <w:rPr>
          <w:i/>
        </w:rPr>
        <w:t>Planning Act.</w:t>
      </w:r>
      <w:r w:rsidR="003D3F70">
        <w:t xml:space="preserve"> New STA uses are required to </w:t>
      </w:r>
      <w:proofErr w:type="gramStart"/>
      <w:r w:rsidR="003D3F70">
        <w:t>be located in</w:t>
      </w:r>
      <w:proofErr w:type="gramEnd"/>
      <w:r w:rsidR="003D3F70">
        <w:t xml:space="preserve"> settlement areas on full municipal water and sewer services.  In doing so this would encourage development within settlement areas, while helping protect agricultural, environmental and resource lands, as prescribed by the </w:t>
      </w:r>
      <w:r w:rsidR="003D3F70">
        <w:rPr>
          <w:i/>
        </w:rPr>
        <w:t xml:space="preserve">Planning Act. </w:t>
      </w:r>
      <w:r w:rsidR="003D3F70">
        <w:t xml:space="preserve">STA uses are considered commercial in nature, and therefore can provide some economic activity supporting tourism in the Town.  STA uses are restricted in some residential areas where nuisance or land use conflict between the STA uses and the existing residential uses could be prevalent. </w:t>
      </w:r>
    </w:p>
    <w:p w14:paraId="0E0C1598" w14:textId="2FC7BE8D" w:rsidR="00AB130E" w:rsidRPr="00627B97" w:rsidRDefault="003D3F70" w:rsidP="00AB130E">
      <w:pPr>
        <w:rPr>
          <w:rFonts w:cs="Calibri"/>
          <w:iCs/>
        </w:rPr>
      </w:pPr>
      <w:r>
        <w:t xml:space="preserve">County staff are satisfied that the Town followed the appropriate legislative requirements for notification and the hosting of a public meeting for the proposed STA TOTBMOP policies. </w:t>
      </w:r>
    </w:p>
    <w:p w14:paraId="00A52969" w14:textId="77777777" w:rsidR="00AB130E" w:rsidRDefault="00AB130E" w:rsidP="00AB130E">
      <w:pPr>
        <w:pStyle w:val="Heading3"/>
      </w:pPr>
      <w:r>
        <w:t>Provincial Policy Statement (PPS)</w:t>
      </w:r>
    </w:p>
    <w:p w14:paraId="2B15C3BE" w14:textId="23929B3E" w:rsidR="004B1BF9" w:rsidRDefault="00AB130E" w:rsidP="00545D0D">
      <w:pPr>
        <w:rPr>
          <w:rFonts w:cs="Calibri"/>
        </w:rPr>
      </w:pPr>
      <w:r>
        <w:rPr>
          <w:rFonts w:cs="Calibri"/>
        </w:rPr>
        <w:t xml:space="preserve">A key goal of the PPS is </w:t>
      </w:r>
      <w:r w:rsidR="004B1BF9">
        <w:rPr>
          <w:rFonts w:cs="Calibri"/>
        </w:rPr>
        <w:t>to encourage development and redevelopment within settlement areas.  As noted above</w:t>
      </w:r>
      <w:r w:rsidR="004547C3">
        <w:rPr>
          <w:rFonts w:cs="Calibri"/>
        </w:rPr>
        <w:t>,</w:t>
      </w:r>
      <w:r w:rsidR="004B1BF9">
        <w:rPr>
          <w:rFonts w:cs="Calibri"/>
        </w:rPr>
        <w:t xml:space="preserve"> new STA uses are required to be on full municipal services within settlement areas.  </w:t>
      </w:r>
      <w:proofErr w:type="gramStart"/>
      <w:r w:rsidR="004B1BF9">
        <w:rPr>
          <w:rFonts w:cs="Calibri"/>
        </w:rPr>
        <w:t>Similar to</w:t>
      </w:r>
      <w:proofErr w:type="gramEnd"/>
      <w:r w:rsidR="004B1BF9">
        <w:rPr>
          <w:rFonts w:cs="Calibri"/>
        </w:rPr>
        <w:t xml:space="preserve"> the </w:t>
      </w:r>
      <w:r w:rsidR="004B1BF9">
        <w:rPr>
          <w:rFonts w:cs="Calibri"/>
          <w:i/>
        </w:rPr>
        <w:t>Planning Act</w:t>
      </w:r>
      <w:r w:rsidR="004547C3">
        <w:rPr>
          <w:rFonts w:cs="Calibri"/>
          <w:i/>
        </w:rPr>
        <w:t>,</w:t>
      </w:r>
      <w:r w:rsidR="004B1BF9">
        <w:rPr>
          <w:rFonts w:cs="Calibri"/>
        </w:rPr>
        <w:t xml:space="preserve"> the PPS promotes a range of economic opportunities including both tourism and commercial businesses. STA uses serve as both income properties and accommodations for short-term tourists.  Appropriate mechanisms are in place through the official plan policies, and more so through the zoning provisions and licensing by-law to prevent such commercial uses from being</w:t>
      </w:r>
      <w:r w:rsidR="004547C3">
        <w:rPr>
          <w:rFonts w:cs="Calibri"/>
        </w:rPr>
        <w:t>;</w:t>
      </w:r>
      <w:r w:rsidR="004B1BF9">
        <w:rPr>
          <w:rFonts w:cs="Calibri"/>
        </w:rPr>
        <w:t xml:space="preserve"> (a) a risk to public health and safety, and (b) causing undue impact on existing residential uses. </w:t>
      </w:r>
    </w:p>
    <w:p w14:paraId="64B86DF1" w14:textId="1A059F02" w:rsidR="00AB130E" w:rsidRPr="004B1BF9" w:rsidRDefault="004B1BF9" w:rsidP="00545D0D">
      <w:pPr>
        <w:rPr>
          <w:rFonts w:cs="Calibri"/>
        </w:rPr>
      </w:pPr>
      <w:r>
        <w:rPr>
          <w:rFonts w:cs="Calibri"/>
        </w:rPr>
        <w:t xml:space="preserve">County staff are satisfied that the proposed STA policies are consistent with the PPS. </w:t>
      </w:r>
    </w:p>
    <w:p w14:paraId="125EA7EC" w14:textId="77777777" w:rsidR="00AB130E" w:rsidRDefault="00AB130E" w:rsidP="00AB130E">
      <w:pPr>
        <w:pStyle w:val="Heading3"/>
      </w:pPr>
      <w:r>
        <w:t>County Official Plan</w:t>
      </w:r>
    </w:p>
    <w:p w14:paraId="631A1290" w14:textId="40685684" w:rsidR="00262C24" w:rsidRDefault="00262C24" w:rsidP="00545D0D">
      <w:pPr>
        <w:rPr>
          <w:rFonts w:cs="Arial"/>
        </w:rPr>
      </w:pPr>
      <w:r>
        <w:rPr>
          <w:rFonts w:cs="Arial"/>
        </w:rPr>
        <w:t>When approving the TOTBMOP in 2016, County staff were testing the Plan against the County Official Plan in place at the time, which was approved in 2000, and modified substantially in 2012 by OPA 80.  Since then the County has had a new Official Plan, Recolour Grey, approved by the Province. Both Recolour Grey and its predecessor contain two main settlement area designations (or land use types) in the Town of The Blue Mountains;</w:t>
      </w:r>
    </w:p>
    <w:p w14:paraId="7DCBDA82" w14:textId="7A45D261" w:rsidR="00262C24" w:rsidRDefault="00262C24" w:rsidP="00262C24">
      <w:pPr>
        <w:pStyle w:val="ListParagraph"/>
        <w:numPr>
          <w:ilvl w:val="0"/>
          <w:numId w:val="17"/>
        </w:numPr>
      </w:pPr>
      <w:r>
        <w:lastRenderedPageBreak/>
        <w:t xml:space="preserve">Primary Settlement Areas, and </w:t>
      </w:r>
    </w:p>
    <w:p w14:paraId="63A4D3F7" w14:textId="56008C80" w:rsidR="00262C24" w:rsidRDefault="00262C24" w:rsidP="00262C24">
      <w:pPr>
        <w:pStyle w:val="ListParagraph"/>
        <w:numPr>
          <w:ilvl w:val="0"/>
          <w:numId w:val="17"/>
        </w:numPr>
      </w:pPr>
      <w:r>
        <w:t>Recreational Resort Areas.</w:t>
      </w:r>
    </w:p>
    <w:p w14:paraId="6E1AE828" w14:textId="6323595A" w:rsidR="00262C24" w:rsidRDefault="00262C24" w:rsidP="00262C24">
      <w:r>
        <w:t>In both instances the County Plan requires new development to be on full municipal water and sewer services.  The County Plan also generally defers to the detailed policies in municipal official plans and the Niagara Escarpment Plan</w:t>
      </w:r>
      <w:r w:rsidR="004547C3">
        <w:t xml:space="preserve"> for development in settlement areas</w:t>
      </w:r>
      <w:r>
        <w:t>.</w:t>
      </w:r>
    </w:p>
    <w:p w14:paraId="0D9DCAF4" w14:textId="5DC4E8BC" w:rsidR="00262C24" w:rsidRDefault="00262C24" w:rsidP="00262C24">
      <w:r>
        <w:t>In Recolour Grey the County did not insert any detailed STA policies,</w:t>
      </w:r>
      <w:r w:rsidR="004323C1">
        <w:t xml:space="preserve"> but did include the following provisions in section 4.2.8;</w:t>
      </w:r>
    </w:p>
    <w:p w14:paraId="27743284" w14:textId="2370F80F" w:rsidR="004323C1" w:rsidRPr="004323C1" w:rsidRDefault="004323C1" w:rsidP="004323C1">
      <w:pPr>
        <w:autoSpaceDE w:val="0"/>
        <w:autoSpaceDN w:val="0"/>
        <w:adjustRightInd w:val="0"/>
        <w:ind w:firstLine="720"/>
        <w:rPr>
          <w:rFonts w:cs="Arial"/>
          <w:i/>
          <w:color w:val="000000"/>
        </w:rPr>
      </w:pPr>
      <w:r w:rsidRPr="004323C1">
        <w:rPr>
          <w:rFonts w:cs="Arial"/>
          <w:bCs/>
          <w:i/>
          <w:color w:val="000000"/>
        </w:rPr>
        <w:t xml:space="preserve">“4.2.8 Short-Term Accommodation </w:t>
      </w:r>
    </w:p>
    <w:p w14:paraId="1BC25933" w14:textId="5C9EFF30" w:rsidR="004323C1" w:rsidRPr="004323C1" w:rsidRDefault="004323C1" w:rsidP="004323C1">
      <w:pPr>
        <w:ind w:left="720"/>
        <w:rPr>
          <w:i/>
        </w:rPr>
      </w:pPr>
      <w:r w:rsidRPr="004323C1">
        <w:rPr>
          <w:rFonts w:cs="Arial"/>
          <w:i/>
          <w:color w:val="000000"/>
        </w:rPr>
        <w:t xml:space="preserve">The </w:t>
      </w:r>
      <w:r w:rsidRPr="004323C1">
        <w:rPr>
          <w:rFonts w:cs="Arial"/>
          <w:i/>
          <w:iCs/>
          <w:color w:val="000000"/>
        </w:rPr>
        <w:t xml:space="preserve">County </w:t>
      </w:r>
      <w:r w:rsidRPr="004323C1">
        <w:rPr>
          <w:rFonts w:cs="Arial"/>
          <w:i/>
          <w:color w:val="000000"/>
        </w:rPr>
        <w:t xml:space="preserve">recognizes the need to identify and have regard for short-term accommodations. There are many different types, some of which include bed and breakfast establishments, care homes, farm vacation homes, and </w:t>
      </w:r>
      <w:r w:rsidRPr="004323C1">
        <w:rPr>
          <w:rFonts w:cs="Arial"/>
          <w:i/>
          <w:iCs/>
          <w:color w:val="000000"/>
        </w:rPr>
        <w:t>dwelling</w:t>
      </w:r>
      <w:r w:rsidRPr="004323C1">
        <w:rPr>
          <w:rFonts w:cs="Arial"/>
          <w:i/>
          <w:color w:val="000000"/>
        </w:rPr>
        <w:t xml:space="preserve">s rented for short term periods, but do not include motels or hotels. Short-term accommodations (rented less than 30 days at a time) are at times being operated </w:t>
      </w:r>
      <w:proofErr w:type="gramStart"/>
      <w:r w:rsidRPr="004323C1">
        <w:rPr>
          <w:rFonts w:cs="Arial"/>
          <w:i/>
          <w:color w:val="000000"/>
        </w:rPr>
        <w:t>similar to</w:t>
      </w:r>
      <w:proofErr w:type="gramEnd"/>
      <w:r w:rsidRPr="004323C1">
        <w:rPr>
          <w:rFonts w:cs="Arial"/>
          <w:i/>
          <w:color w:val="000000"/>
        </w:rPr>
        <w:t xml:space="preserve"> commercial hotel operations. The </w:t>
      </w:r>
      <w:r w:rsidRPr="004323C1">
        <w:rPr>
          <w:rFonts w:cs="Arial"/>
          <w:i/>
          <w:iCs/>
          <w:color w:val="000000"/>
        </w:rPr>
        <w:t xml:space="preserve">County </w:t>
      </w:r>
      <w:r w:rsidRPr="004323C1">
        <w:rPr>
          <w:rFonts w:cs="Arial"/>
          <w:i/>
          <w:color w:val="000000"/>
        </w:rPr>
        <w:t>acknowledges that this may pose land use conflicts for surrounding residential areas and could have long-term implications on the available rental market. There are recognized benefits to allowing these types of short-term uses, although we recommend local municipalities implement regulating policies to address any potential long-term concerns.”</w:t>
      </w:r>
    </w:p>
    <w:p w14:paraId="455B523D" w14:textId="424F0C78" w:rsidR="00262C24" w:rsidRDefault="00262C24" w:rsidP="00262C24">
      <w:r>
        <w:t>The County had earlier approved OPA 11 to the previous TOTBMOP, which was later approved by the OMB.</w:t>
      </w:r>
      <w:r w:rsidR="004323C1">
        <w:t xml:space="preserve"> The proposed STA policies are very similar to the OPA 11 policies.  The proposed policies would not appear to conflict with any provisions in the previous County Official Plan, or in the current Recolour Grey.  Staff are satisfied that the proposed policy provisions conform to the County Official Plan. </w:t>
      </w:r>
      <w:r>
        <w:t xml:space="preserve">  </w:t>
      </w:r>
    </w:p>
    <w:p w14:paraId="607FACC9" w14:textId="2DDBF2A1" w:rsidR="00A94231" w:rsidRDefault="004B1BF9" w:rsidP="00A94231">
      <w:pPr>
        <w:pStyle w:val="Heading3"/>
      </w:pPr>
      <w:r>
        <w:t>Town of The Blue Mountains</w:t>
      </w:r>
      <w:r w:rsidR="00A94231">
        <w:t xml:space="preserve"> Official Plan</w:t>
      </w:r>
    </w:p>
    <w:p w14:paraId="013EC7B2" w14:textId="32A49F6D" w:rsidR="00A94231" w:rsidRPr="00D9058F" w:rsidRDefault="004323C1" w:rsidP="008E4F1D">
      <w:r>
        <w:t xml:space="preserve">The proposed </w:t>
      </w:r>
      <w:r w:rsidRPr="00655CD8">
        <w:t xml:space="preserve">policy provisions would be inserted into the </w:t>
      </w:r>
      <w:r w:rsidR="00865FFB" w:rsidRPr="00655CD8">
        <w:t>TOTBMOP at sections B2.5 and an exception at B3.7.6.14</w:t>
      </w:r>
      <w:r w:rsidR="00655CD8">
        <w:t xml:space="preserve">.  With respect to a specific analysis on the TOTBMOP County staff would generally defer to the detailed staff reports prepared by Town staff and </w:t>
      </w:r>
      <w:r w:rsidR="00655CD8" w:rsidRPr="00D9058F">
        <w:t>linked to in the Attachments section of this report. Town staff have recommended approval of the proposed STA policies, and are satisfied that they maintain the goals and objectives of the TOTBMOP.</w:t>
      </w:r>
    </w:p>
    <w:p w14:paraId="7084E7B8" w14:textId="2B1E7CC9" w:rsidR="00D9058F" w:rsidRPr="00D9058F" w:rsidRDefault="00392632" w:rsidP="008E4F1D">
      <w:r>
        <w:t xml:space="preserve">The proposed STA policies are </w:t>
      </w:r>
      <w:r>
        <w:rPr>
          <w:rFonts w:cs="Arial"/>
          <w:bCs/>
        </w:rPr>
        <w:t xml:space="preserve">found at pages 9 – 12 of the Town staff report PDF </w:t>
      </w:r>
      <w:proofErr w:type="gramStart"/>
      <w:r>
        <w:rPr>
          <w:rFonts w:cs="Arial"/>
          <w:bCs/>
        </w:rPr>
        <w:t>document</w:t>
      </w:r>
      <w:proofErr w:type="gramEnd"/>
      <w:r>
        <w:rPr>
          <w:rFonts w:cs="Arial"/>
          <w:bCs/>
        </w:rPr>
        <w:t xml:space="preserve"> (linked to in the Attachments section of this report). </w:t>
      </w:r>
      <w:r w:rsidR="00D9058F" w:rsidRPr="00D9058F">
        <w:t xml:space="preserve">There are </w:t>
      </w:r>
      <w:r w:rsidR="00D9058F">
        <w:t xml:space="preserve">two minor </w:t>
      </w:r>
      <w:r w:rsidR="00D9058F">
        <w:lastRenderedPageBreak/>
        <w:t>modifications to the proposed policies to correct and clarify typographical matters.  Both modifications have been supported by Town staff.</w:t>
      </w:r>
    </w:p>
    <w:p w14:paraId="75B31BC5" w14:textId="77777777" w:rsidR="00AC3A8B" w:rsidRPr="00217518" w:rsidRDefault="00CD64E9" w:rsidP="00CD64E9">
      <w:pPr>
        <w:pStyle w:val="Heading2"/>
      </w:pPr>
      <w:r>
        <w:t>Legal and Legislated Requirements</w:t>
      </w:r>
    </w:p>
    <w:p w14:paraId="733D499A" w14:textId="6940A705" w:rsidR="00AC3A8B" w:rsidRPr="00B0378D" w:rsidRDefault="00545D0D" w:rsidP="00CD64E9">
      <w:pPr>
        <w:widowControl w:val="0"/>
      </w:pPr>
      <w:r>
        <w:rPr>
          <w:rStyle w:val="IntenseEmphasis"/>
          <w:b w:val="0"/>
        </w:rPr>
        <w:t>These proposed changes to the Town of The Blue Mountains Official Plan</w:t>
      </w:r>
      <w:r w:rsidR="00F94195">
        <w:rPr>
          <w:rStyle w:val="IntenseEmphasis"/>
          <w:b w:val="0"/>
        </w:rPr>
        <w:t xml:space="preserve"> </w:t>
      </w:r>
      <w:r w:rsidR="0042388C">
        <w:rPr>
          <w:rStyle w:val="IntenseEmphasis"/>
          <w:b w:val="0"/>
        </w:rPr>
        <w:t>ha</w:t>
      </w:r>
      <w:r>
        <w:rPr>
          <w:rStyle w:val="IntenseEmphasis"/>
          <w:b w:val="0"/>
        </w:rPr>
        <w:t>ve</w:t>
      </w:r>
      <w:r w:rsidR="0042388C">
        <w:rPr>
          <w:rStyle w:val="IntenseEmphasis"/>
          <w:b w:val="0"/>
        </w:rPr>
        <w:t xml:space="preserve"> been</w:t>
      </w:r>
      <w:r w:rsidR="00F94195">
        <w:rPr>
          <w:rStyle w:val="IntenseEmphasis"/>
          <w:b w:val="0"/>
        </w:rPr>
        <w:t xml:space="preserve"> processed in accordance with the </w:t>
      </w:r>
      <w:r w:rsidR="00F94195" w:rsidRPr="00FD4605">
        <w:rPr>
          <w:rStyle w:val="IntenseEmphasis"/>
          <w:b w:val="0"/>
          <w:i/>
        </w:rPr>
        <w:t>Planning Act</w:t>
      </w:r>
      <w:r w:rsidR="00F94195">
        <w:rPr>
          <w:rStyle w:val="IntenseEmphasis"/>
          <w:b w:val="0"/>
        </w:rPr>
        <w:t>.</w:t>
      </w:r>
      <w:r w:rsidR="004323C1">
        <w:rPr>
          <w:rStyle w:val="IntenseEmphasis"/>
          <w:b w:val="0"/>
        </w:rPr>
        <w:t xml:space="preserve"> The proposed STA policies would not appear to conflict with the outstanding site-specific matters under appeal in the 2016 TOTBMOP.</w:t>
      </w:r>
    </w:p>
    <w:p w14:paraId="113D8E83" w14:textId="77777777" w:rsidR="00AC3A8B" w:rsidRPr="00B0378D" w:rsidRDefault="00AC3A8B" w:rsidP="006E00FA">
      <w:pPr>
        <w:pStyle w:val="Heading2"/>
        <w:keepNext w:val="0"/>
        <w:widowControl w:val="0"/>
        <w:rPr>
          <w:b/>
        </w:rPr>
      </w:pPr>
      <w:r w:rsidRPr="00B0378D">
        <w:t>Financial</w:t>
      </w:r>
      <w:r w:rsidR="00CD64E9">
        <w:t xml:space="preserve"> and Resource Implications</w:t>
      </w:r>
    </w:p>
    <w:p w14:paraId="0190EAEB" w14:textId="2D9BDCB8" w:rsidR="00F94195" w:rsidRDefault="00F94195" w:rsidP="006E00FA">
      <w:pPr>
        <w:widowControl w:val="0"/>
        <w:rPr>
          <w:rStyle w:val="IntenseEmphasis"/>
          <w:b w:val="0"/>
        </w:rPr>
      </w:pPr>
      <w:r>
        <w:rPr>
          <w:rStyle w:val="IntenseEmphasis"/>
          <w:b w:val="0"/>
        </w:rPr>
        <w:t xml:space="preserve">There are no anticipated financial, staffing or legal considerations associated with the proposed </w:t>
      </w:r>
      <w:r w:rsidR="00545D0D">
        <w:rPr>
          <w:rStyle w:val="IntenseEmphasis"/>
          <w:b w:val="0"/>
        </w:rPr>
        <w:t>official plan policy changes</w:t>
      </w:r>
      <w:r>
        <w:rPr>
          <w:rStyle w:val="IntenseEmphasis"/>
          <w:b w:val="0"/>
        </w:rPr>
        <w:t xml:space="preserve">, beyond those normally encountered in processing </w:t>
      </w:r>
      <w:r w:rsidR="00545D0D">
        <w:rPr>
          <w:rStyle w:val="IntenseEmphasis"/>
          <w:b w:val="0"/>
        </w:rPr>
        <w:t>official plans or official plan amendments</w:t>
      </w:r>
      <w:r>
        <w:rPr>
          <w:rStyle w:val="IntenseEmphasis"/>
          <w:b w:val="0"/>
        </w:rPr>
        <w:t xml:space="preserve">. </w:t>
      </w:r>
    </w:p>
    <w:p w14:paraId="2F90FD1C" w14:textId="77777777" w:rsidR="00AC3A8B" w:rsidRPr="00580AAD" w:rsidRDefault="002E32B0" w:rsidP="006E00FA">
      <w:pPr>
        <w:pStyle w:val="Heading2"/>
        <w:keepNext w:val="0"/>
        <w:widowControl w:val="0"/>
      </w:pPr>
      <w:r>
        <w:t>Relevant Consultation</w:t>
      </w:r>
    </w:p>
    <w:p w14:paraId="684AD670" w14:textId="4A60D7EE" w:rsidR="00AC3A8B" w:rsidRDefault="00301CEB" w:rsidP="006E00FA">
      <w:pPr>
        <w:widowControl w:val="0"/>
      </w:pPr>
      <w:sdt>
        <w:sdtPr>
          <w:id w:val="-1131168753"/>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F94195">
        <w:t xml:space="preserve"> Internal: Planning Staff</w:t>
      </w:r>
    </w:p>
    <w:p w14:paraId="1A118608" w14:textId="01B6A0FA" w:rsidR="002E32B0" w:rsidRDefault="00301CEB" w:rsidP="006E00FA">
      <w:pPr>
        <w:widowControl w:val="0"/>
      </w:pPr>
      <w:sdt>
        <w:sdtPr>
          <w:id w:val="-650440191"/>
          <w14:checkbox>
            <w14:checked w14:val="1"/>
            <w14:checkedState w14:val="2612" w14:font="MS Gothic"/>
            <w14:uncheckedState w14:val="2610" w14:font="MS Gothic"/>
          </w14:checkbox>
        </w:sdtPr>
        <w:sdtEndPr/>
        <w:sdtContent>
          <w:r w:rsidR="00F94195">
            <w:rPr>
              <w:rFonts w:ascii="MS Gothic" w:eastAsia="MS Gothic" w:hAnsi="MS Gothic" w:hint="eastAsia"/>
            </w:rPr>
            <w:t>☒</w:t>
          </w:r>
        </w:sdtContent>
      </w:sdt>
      <w:r w:rsidR="00F94195">
        <w:t xml:space="preserve"> External: </w:t>
      </w:r>
      <w:r w:rsidR="00545D0D">
        <w:t>Town of The Blue Mountains</w:t>
      </w:r>
      <w:r w:rsidR="00F94195">
        <w:t>,</w:t>
      </w:r>
      <w:r w:rsidR="00545D0D">
        <w:t xml:space="preserve"> members of the public, and</w:t>
      </w:r>
      <w:r w:rsidR="00F94195">
        <w:t xml:space="preserve"> agencies under the Planning Act.</w:t>
      </w:r>
    </w:p>
    <w:p w14:paraId="2D4F9C07" w14:textId="77777777" w:rsidR="001272D9" w:rsidRDefault="002E32B0" w:rsidP="002E32B0">
      <w:pPr>
        <w:pStyle w:val="Heading3"/>
      </w:pPr>
      <w:r>
        <w:t>Appendices and Attachments</w:t>
      </w:r>
      <w:r w:rsidR="00CF4AA5">
        <w:t xml:space="preserve"> </w:t>
      </w:r>
    </w:p>
    <w:p w14:paraId="148AE73C" w14:textId="3CE4F60C" w:rsidR="00E61416" w:rsidRDefault="00301CEB" w:rsidP="00545D0D">
      <w:hyperlink r:id="rId9" w:history="1">
        <w:r w:rsidR="00545D0D" w:rsidRPr="00545D0D">
          <w:rPr>
            <w:rStyle w:val="Hyperlink"/>
            <w:rFonts w:cs="Arial"/>
            <w:kern w:val="36"/>
          </w:rPr>
          <w:t>Addendum to Report PDR-PCD-22-16 Blue Mountains Official Plan</w:t>
        </w:r>
      </w:hyperlink>
    </w:p>
    <w:p w14:paraId="36BFEE78" w14:textId="776DF074" w:rsidR="00545D0D" w:rsidRDefault="00301CEB" w:rsidP="00545D0D">
      <w:hyperlink r:id="rId10" w:history="1">
        <w:r w:rsidR="00545D0D" w:rsidRPr="00545D0D">
          <w:rPr>
            <w:rStyle w:val="Hyperlink"/>
          </w:rPr>
          <w:t>PDR-PCD-22-16 Town The Blue Mountains Official Plan</w:t>
        </w:r>
      </w:hyperlink>
    </w:p>
    <w:p w14:paraId="4FAE85C1" w14:textId="1C586446" w:rsidR="007963DF" w:rsidRDefault="00301CEB" w:rsidP="00545D0D">
      <w:pPr>
        <w:rPr>
          <w:rStyle w:val="Hyperlink"/>
          <w:rFonts w:cs="Arial"/>
          <w:kern w:val="36"/>
        </w:rPr>
      </w:pPr>
      <w:hyperlink r:id="rId11" w:history="1">
        <w:r w:rsidR="0099734F" w:rsidRPr="0099734F">
          <w:rPr>
            <w:rStyle w:val="Hyperlink"/>
            <w:rFonts w:cs="Arial"/>
            <w:kern w:val="36"/>
          </w:rPr>
          <w:t xml:space="preserve">Town </w:t>
        </w:r>
        <w:r w:rsidR="0099734F" w:rsidRPr="0099734F">
          <w:rPr>
            <w:rStyle w:val="Hyperlink"/>
            <w:rFonts w:cs="Arial"/>
            <w:kern w:val="36"/>
            <w:lang w:val="en-CA"/>
          </w:rPr>
          <w:t xml:space="preserve">of The Blue Mountains </w:t>
        </w:r>
        <w:r w:rsidR="0099734F" w:rsidRPr="0099734F">
          <w:rPr>
            <w:rStyle w:val="Hyperlink"/>
            <w:rFonts w:cs="Arial"/>
            <w:kern w:val="36"/>
          </w:rPr>
          <w:t>STA Staff Reports</w:t>
        </w:r>
      </w:hyperlink>
    </w:p>
    <w:p w14:paraId="060B8D4D" w14:textId="77777777" w:rsidR="007963DF" w:rsidRDefault="007963DF">
      <w:pPr>
        <w:rPr>
          <w:rStyle w:val="Hyperlink"/>
          <w:rFonts w:cs="Arial"/>
          <w:kern w:val="36"/>
        </w:rPr>
      </w:pPr>
      <w:r>
        <w:rPr>
          <w:rStyle w:val="Hyperlink"/>
          <w:rFonts w:cs="Arial"/>
          <w:kern w:val="36"/>
        </w:rPr>
        <w:br w:type="page"/>
      </w:r>
    </w:p>
    <w:p w14:paraId="68B9A3AF" w14:textId="77777777" w:rsidR="007963DF" w:rsidRDefault="007963DF" w:rsidP="00545D0D">
      <w:pPr>
        <w:rPr>
          <w:rFonts w:cs="Arial"/>
        </w:rPr>
        <w:sectPr w:rsidR="007963DF" w:rsidSect="00545D0D">
          <w:footerReference w:type="default" r:id="rId12"/>
          <w:pgSz w:w="12240" w:h="15840"/>
          <w:pgMar w:top="1440" w:right="1440" w:bottom="1440" w:left="1440" w:header="720" w:footer="720" w:gutter="0"/>
          <w:cols w:space="720"/>
        </w:sectPr>
      </w:pPr>
    </w:p>
    <w:p w14:paraId="23AF6F95" w14:textId="521968EC" w:rsidR="0099734F" w:rsidRPr="00A05C42" w:rsidRDefault="007963DF" w:rsidP="00A05C42">
      <w:pPr>
        <w:pStyle w:val="Heading3"/>
        <w:spacing w:line="240" w:lineRule="auto"/>
        <w:contextualSpacing/>
        <w:rPr>
          <w:sz w:val="24"/>
          <w:szCs w:val="24"/>
        </w:rPr>
      </w:pPr>
      <w:r w:rsidRPr="00A05C42">
        <w:rPr>
          <w:sz w:val="24"/>
          <w:szCs w:val="24"/>
        </w:rPr>
        <w:lastRenderedPageBreak/>
        <w:t xml:space="preserve">Schedule 1: Proposed Modifications to the </w:t>
      </w:r>
      <w:proofErr w:type="gramStart"/>
      <w:r w:rsidR="00E33CF3" w:rsidRPr="00A05C42">
        <w:rPr>
          <w:sz w:val="24"/>
          <w:szCs w:val="24"/>
        </w:rPr>
        <w:t>Short Term</w:t>
      </w:r>
      <w:proofErr w:type="gramEnd"/>
      <w:r w:rsidR="00E33CF3" w:rsidRPr="00A05C42">
        <w:rPr>
          <w:sz w:val="24"/>
          <w:szCs w:val="24"/>
        </w:rPr>
        <w:t xml:space="preserve"> Accommodation Policies</w:t>
      </w:r>
    </w:p>
    <w:tbl>
      <w:tblPr>
        <w:tblStyle w:val="TableGrid"/>
        <w:tblW w:w="14187" w:type="dxa"/>
        <w:tblInd w:w="-725" w:type="dxa"/>
        <w:tblLook w:val="04A0" w:firstRow="1" w:lastRow="0" w:firstColumn="1" w:lastColumn="0" w:noHBand="0" w:noVBand="1"/>
        <w:tblDescription w:val="Schedule 1: Proposed modifications to the Twon of The Blue Mountains Official Plan"/>
      </w:tblPr>
      <w:tblGrid>
        <w:gridCol w:w="1684"/>
        <w:gridCol w:w="1421"/>
        <w:gridCol w:w="2003"/>
        <w:gridCol w:w="9079"/>
      </w:tblGrid>
      <w:tr w:rsidR="007963DF" w14:paraId="1470BF29" w14:textId="77777777" w:rsidTr="00A05C42">
        <w:trPr>
          <w:trHeight w:val="843"/>
          <w:tblHeader/>
        </w:trPr>
        <w:tc>
          <w:tcPr>
            <w:tcW w:w="1684" w:type="dxa"/>
            <w:shd w:val="clear" w:color="auto" w:fill="F2F2F2" w:themeFill="background1" w:themeFillShade="F2"/>
          </w:tcPr>
          <w:p w14:paraId="4B5E97CB" w14:textId="38DF6D3D" w:rsidR="007963DF" w:rsidRPr="00D9058F" w:rsidRDefault="007963DF" w:rsidP="007963DF">
            <w:pPr>
              <w:jc w:val="center"/>
              <w:rPr>
                <w:b/>
              </w:rPr>
            </w:pPr>
            <w:r w:rsidRPr="00D9058F">
              <w:rPr>
                <w:b/>
              </w:rPr>
              <w:t>Modification Number</w:t>
            </w:r>
          </w:p>
        </w:tc>
        <w:tc>
          <w:tcPr>
            <w:tcW w:w="1421" w:type="dxa"/>
            <w:shd w:val="clear" w:color="auto" w:fill="F2F2F2" w:themeFill="background1" w:themeFillShade="F2"/>
          </w:tcPr>
          <w:p w14:paraId="06F226BC" w14:textId="3C4147B8" w:rsidR="007963DF" w:rsidRPr="00D9058F" w:rsidRDefault="007963DF" w:rsidP="007963DF">
            <w:pPr>
              <w:jc w:val="center"/>
              <w:rPr>
                <w:b/>
              </w:rPr>
            </w:pPr>
            <w:r w:rsidRPr="00D9058F">
              <w:rPr>
                <w:b/>
              </w:rPr>
              <w:t>Section Number</w:t>
            </w:r>
          </w:p>
        </w:tc>
        <w:tc>
          <w:tcPr>
            <w:tcW w:w="2003" w:type="dxa"/>
            <w:shd w:val="clear" w:color="auto" w:fill="F2F2F2" w:themeFill="background1" w:themeFillShade="F2"/>
          </w:tcPr>
          <w:p w14:paraId="12C4A190" w14:textId="2BC1FFC1" w:rsidR="007963DF" w:rsidRPr="00D9058F" w:rsidRDefault="007963DF" w:rsidP="007963DF">
            <w:pPr>
              <w:rPr>
                <w:b/>
              </w:rPr>
            </w:pPr>
            <w:r w:rsidRPr="00D9058F">
              <w:rPr>
                <w:b/>
              </w:rPr>
              <w:t>Principle Basis for the Proposed Modification</w:t>
            </w:r>
          </w:p>
        </w:tc>
        <w:tc>
          <w:tcPr>
            <w:tcW w:w="9079" w:type="dxa"/>
            <w:shd w:val="clear" w:color="auto" w:fill="F2F2F2" w:themeFill="background1" w:themeFillShade="F2"/>
          </w:tcPr>
          <w:p w14:paraId="1C76CBAF" w14:textId="3D0D2F1A" w:rsidR="007963DF" w:rsidRPr="00D9058F" w:rsidRDefault="007963DF" w:rsidP="007963DF">
            <w:pPr>
              <w:rPr>
                <w:b/>
              </w:rPr>
            </w:pPr>
            <w:r w:rsidRPr="00D9058F">
              <w:rPr>
                <w:b/>
              </w:rPr>
              <w:t>Recommended Modification</w:t>
            </w:r>
          </w:p>
        </w:tc>
      </w:tr>
      <w:tr w:rsidR="007963DF" w14:paraId="63B76E55" w14:textId="77777777" w:rsidTr="00A05C42">
        <w:trPr>
          <w:trHeight w:val="427"/>
          <w:tblHeader/>
        </w:trPr>
        <w:tc>
          <w:tcPr>
            <w:tcW w:w="1684" w:type="dxa"/>
          </w:tcPr>
          <w:p w14:paraId="44623F6B" w14:textId="2EBD221F" w:rsidR="007963DF" w:rsidRDefault="007963DF" w:rsidP="007963DF">
            <w:pPr>
              <w:jc w:val="center"/>
            </w:pPr>
            <w:r>
              <w:t>1</w:t>
            </w:r>
          </w:p>
        </w:tc>
        <w:tc>
          <w:tcPr>
            <w:tcW w:w="1421" w:type="dxa"/>
          </w:tcPr>
          <w:p w14:paraId="0827B634" w14:textId="31B8CEA9" w:rsidR="007963DF" w:rsidRDefault="007963DF" w:rsidP="007963DF">
            <w:pPr>
              <w:jc w:val="center"/>
            </w:pPr>
            <w:r>
              <w:t>Item 2</w:t>
            </w:r>
          </w:p>
        </w:tc>
        <w:tc>
          <w:tcPr>
            <w:tcW w:w="2003" w:type="dxa"/>
          </w:tcPr>
          <w:p w14:paraId="7685A38E" w14:textId="28CC5152" w:rsidR="007963DF" w:rsidRDefault="007963DF" w:rsidP="007963DF">
            <w:r>
              <w:t>Typographical correction</w:t>
            </w:r>
          </w:p>
        </w:tc>
        <w:tc>
          <w:tcPr>
            <w:tcW w:w="9079" w:type="dxa"/>
          </w:tcPr>
          <w:p w14:paraId="7FE08767" w14:textId="3971F116" w:rsidR="007963DF" w:rsidRDefault="00E33CF3" w:rsidP="007963DF">
            <w:r>
              <w:t xml:space="preserve">Under </w:t>
            </w:r>
            <w:r w:rsidR="007963DF">
              <w:t xml:space="preserve">‘Item 2’ the reference to </w:t>
            </w:r>
            <w:r w:rsidR="007963DF" w:rsidRPr="007963DF">
              <w:rPr>
                <w:b/>
              </w:rPr>
              <w:t>‘Schedule A-5’</w:t>
            </w:r>
            <w:r w:rsidR="007963DF">
              <w:t xml:space="preserve"> is hereby deleted and replaced by </w:t>
            </w:r>
            <w:r w:rsidR="007963DF" w:rsidRPr="007963DF">
              <w:rPr>
                <w:b/>
              </w:rPr>
              <w:t>‘Schedule A-4’</w:t>
            </w:r>
            <w:r w:rsidR="00D9058F" w:rsidRPr="00D9058F">
              <w:t>.</w:t>
            </w:r>
          </w:p>
        </w:tc>
      </w:tr>
      <w:tr w:rsidR="007963DF" w14:paraId="487538EB" w14:textId="77777777" w:rsidTr="00A05C42">
        <w:trPr>
          <w:trHeight w:val="5465"/>
          <w:tblHeader/>
        </w:trPr>
        <w:tc>
          <w:tcPr>
            <w:tcW w:w="1684" w:type="dxa"/>
          </w:tcPr>
          <w:p w14:paraId="0F108CB9" w14:textId="28D2DBA6" w:rsidR="007963DF" w:rsidRDefault="007963DF" w:rsidP="007963DF">
            <w:pPr>
              <w:jc w:val="center"/>
            </w:pPr>
            <w:r>
              <w:t>2</w:t>
            </w:r>
          </w:p>
        </w:tc>
        <w:tc>
          <w:tcPr>
            <w:tcW w:w="1421" w:type="dxa"/>
          </w:tcPr>
          <w:p w14:paraId="08F34085" w14:textId="0B508A70" w:rsidR="007963DF" w:rsidRDefault="007963DF" w:rsidP="007963DF">
            <w:pPr>
              <w:jc w:val="center"/>
            </w:pPr>
            <w:r>
              <w:t>Item 3</w:t>
            </w:r>
          </w:p>
        </w:tc>
        <w:tc>
          <w:tcPr>
            <w:tcW w:w="2003" w:type="dxa"/>
          </w:tcPr>
          <w:p w14:paraId="76FEE157" w14:textId="2A32E257" w:rsidR="007963DF" w:rsidRDefault="007963DF" w:rsidP="007963DF">
            <w:r>
              <w:t>Mapping clarification</w:t>
            </w:r>
          </w:p>
        </w:tc>
        <w:tc>
          <w:tcPr>
            <w:tcW w:w="9079" w:type="dxa"/>
          </w:tcPr>
          <w:p w14:paraId="78A5D943" w14:textId="77777777" w:rsidR="007963DF" w:rsidRDefault="007963DF" w:rsidP="007963DF">
            <w:r>
              <w:t>‘Item 3’ is hereby deleted and replaced by the following;</w:t>
            </w:r>
          </w:p>
          <w:p w14:paraId="70E443C1" w14:textId="77777777" w:rsidR="007963DF" w:rsidRDefault="007963DF" w:rsidP="007963DF"/>
          <w:p w14:paraId="776FE59F" w14:textId="6A193F6A" w:rsidR="007963DF" w:rsidRDefault="00D9058F" w:rsidP="007963DF">
            <w:pPr>
              <w:rPr>
                <w:b/>
                <w:lang w:val="en-CA"/>
              </w:rPr>
            </w:pPr>
            <w:r w:rsidRPr="00D9058F">
              <w:rPr>
                <w:b/>
                <w:lang w:val="en-CA"/>
              </w:rPr>
              <w:t>“</w:t>
            </w:r>
            <w:r w:rsidR="007963DF" w:rsidRPr="00D9058F">
              <w:rPr>
                <w:b/>
                <w:lang w:val="en-CA"/>
              </w:rPr>
              <w:t xml:space="preserve">Add Exception Areas of B3.7.6.14 to Official Plan </w:t>
            </w:r>
            <w:r w:rsidRPr="00D9058F">
              <w:rPr>
                <w:b/>
                <w:lang w:val="en-CA"/>
              </w:rPr>
              <w:t>Schedule</w:t>
            </w:r>
            <w:r w:rsidR="007963DF" w:rsidRPr="00D9058F">
              <w:rPr>
                <w:b/>
                <w:lang w:val="en-CA"/>
              </w:rPr>
              <w:t xml:space="preserve"> A-4 as shown below</w:t>
            </w:r>
            <w:r>
              <w:rPr>
                <w:b/>
                <w:lang w:val="en-CA"/>
              </w:rPr>
              <w:t>;</w:t>
            </w:r>
          </w:p>
          <w:p w14:paraId="2BE6EDA9" w14:textId="77777777" w:rsidR="00D9058F" w:rsidRDefault="00D9058F" w:rsidP="007963DF">
            <w:pPr>
              <w:rPr>
                <w:b/>
                <w:lang w:val="en-CA"/>
              </w:rPr>
            </w:pPr>
          </w:p>
          <w:p w14:paraId="2B17BB32" w14:textId="437743C3" w:rsidR="00D9058F" w:rsidRPr="00D9058F" w:rsidRDefault="00D9058F" w:rsidP="007963DF">
            <w:r>
              <w:rPr>
                <w:b/>
                <w:noProof/>
              </w:rPr>
              <w:drawing>
                <wp:inline distT="0" distB="0" distL="0" distR="0" wp14:anchorId="51FA6B63" wp14:editId="35DC93A7">
                  <wp:extent cx="2587752" cy="3200400"/>
                  <wp:effectExtent l="19050" t="19050" r="22225" b="19050"/>
                  <wp:docPr id="2" name="Picture 2" descr="Map showing areas subject to B3.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7.6.14 M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7752" cy="3200400"/>
                          </a:xfrm>
                          <a:prstGeom prst="rect">
                            <a:avLst/>
                          </a:prstGeom>
                          <a:ln w="6350">
                            <a:solidFill>
                              <a:schemeClr val="tx1"/>
                            </a:solidFill>
                          </a:ln>
                        </pic:spPr>
                      </pic:pic>
                    </a:graphicData>
                  </a:graphic>
                </wp:inline>
              </w:drawing>
            </w:r>
            <w:r w:rsidRPr="00D9058F">
              <w:rPr>
                <w:b/>
              </w:rPr>
              <w:t>”</w:t>
            </w:r>
          </w:p>
        </w:tc>
      </w:tr>
    </w:tbl>
    <w:p w14:paraId="42B1FD04" w14:textId="77777777" w:rsidR="007963DF" w:rsidRPr="00756458" w:rsidRDefault="007963DF" w:rsidP="00756458">
      <w:pPr>
        <w:rPr>
          <w:sz w:val="2"/>
          <w:szCs w:val="2"/>
        </w:rPr>
      </w:pPr>
    </w:p>
    <w:sectPr w:rsidR="007963DF" w:rsidRPr="00756458" w:rsidSect="007963DF">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4622" w14:textId="77777777" w:rsidR="00D82163" w:rsidRDefault="00D82163" w:rsidP="00883D8D">
      <w:pPr>
        <w:spacing w:after="0" w:line="240" w:lineRule="auto"/>
      </w:pPr>
      <w:r>
        <w:separator/>
      </w:r>
    </w:p>
    <w:p w14:paraId="3B9F67D5" w14:textId="77777777" w:rsidR="00D82163" w:rsidRDefault="00D82163"/>
  </w:endnote>
  <w:endnote w:type="continuationSeparator" w:id="0">
    <w:p w14:paraId="799B5110" w14:textId="77777777" w:rsidR="00D82163" w:rsidRDefault="00D82163" w:rsidP="00883D8D">
      <w:pPr>
        <w:spacing w:after="0" w:line="240" w:lineRule="auto"/>
      </w:pPr>
      <w:r>
        <w:continuationSeparator/>
      </w:r>
    </w:p>
    <w:p w14:paraId="5681C321" w14:textId="77777777" w:rsidR="00D82163" w:rsidRDefault="00D82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89353"/>
      <w:docPartObj>
        <w:docPartGallery w:val="Page Numbers (Bottom of Page)"/>
        <w:docPartUnique/>
      </w:docPartObj>
    </w:sdtPr>
    <w:sdtEndPr>
      <w:rPr>
        <w:noProof/>
        <w:sz w:val="22"/>
        <w:szCs w:val="22"/>
      </w:rPr>
    </w:sdtEndPr>
    <w:sdtContent>
      <w:p w14:paraId="4A48542F" w14:textId="01350E76" w:rsidR="00265337" w:rsidRPr="00691159" w:rsidRDefault="00265337" w:rsidP="00691159">
        <w:pPr>
          <w:pStyle w:val="Footer"/>
          <w:jc w:val="center"/>
          <w:rPr>
            <w:sz w:val="22"/>
            <w:szCs w:val="22"/>
          </w:rPr>
        </w:pPr>
        <w:r>
          <w:rPr>
            <w:sz w:val="22"/>
            <w:szCs w:val="22"/>
          </w:rPr>
          <w:t>PDR-CW-36-19</w:t>
        </w:r>
        <w:r w:rsidRPr="001E1628">
          <w:rPr>
            <w:sz w:val="22"/>
            <w:szCs w:val="22"/>
          </w:rPr>
          <w:t xml:space="preserve"> </w:t>
        </w:r>
        <w:r>
          <w:rPr>
            <w:sz w:val="22"/>
            <w:szCs w:val="22"/>
          </w:rPr>
          <w:tab/>
        </w:r>
        <w:r w:rsidRPr="001E1628">
          <w:rPr>
            <w:sz w:val="22"/>
            <w:szCs w:val="22"/>
          </w:rPr>
          <w:fldChar w:fldCharType="begin"/>
        </w:r>
        <w:r w:rsidRPr="001E1628">
          <w:rPr>
            <w:sz w:val="22"/>
            <w:szCs w:val="22"/>
          </w:rPr>
          <w:instrText xml:space="preserve"> PAGE   \* MERGEFORMAT </w:instrText>
        </w:r>
        <w:r w:rsidRPr="001E1628">
          <w:rPr>
            <w:sz w:val="22"/>
            <w:szCs w:val="22"/>
          </w:rPr>
          <w:fldChar w:fldCharType="separate"/>
        </w:r>
        <w:r>
          <w:rPr>
            <w:sz w:val="22"/>
            <w:szCs w:val="22"/>
          </w:rPr>
          <w:t>1</w:t>
        </w:r>
        <w:r w:rsidRPr="001E1628">
          <w:rPr>
            <w:noProof/>
            <w:sz w:val="22"/>
            <w:szCs w:val="22"/>
          </w:rPr>
          <w:fldChar w:fldCharType="end"/>
        </w:r>
        <w:r>
          <w:rPr>
            <w:noProof/>
            <w:sz w:val="22"/>
            <w:szCs w:val="22"/>
          </w:rPr>
          <w:tab/>
        </w:r>
        <w:r>
          <w:rPr>
            <w:sz w:val="22"/>
            <w:szCs w:val="22"/>
          </w:rPr>
          <w:t>Date: September 12,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050F" w14:textId="77777777" w:rsidR="00D82163" w:rsidRDefault="00D82163" w:rsidP="00883D8D">
      <w:pPr>
        <w:spacing w:after="0" w:line="240" w:lineRule="auto"/>
      </w:pPr>
      <w:r>
        <w:separator/>
      </w:r>
    </w:p>
    <w:p w14:paraId="0FE4C5A7" w14:textId="77777777" w:rsidR="00D82163" w:rsidRDefault="00D82163"/>
  </w:footnote>
  <w:footnote w:type="continuationSeparator" w:id="0">
    <w:p w14:paraId="6C3EDE70" w14:textId="77777777" w:rsidR="00D82163" w:rsidRDefault="00D82163" w:rsidP="00883D8D">
      <w:pPr>
        <w:spacing w:after="0" w:line="240" w:lineRule="auto"/>
      </w:pPr>
      <w:r>
        <w:continuationSeparator/>
      </w:r>
    </w:p>
    <w:p w14:paraId="42E86BE5" w14:textId="77777777" w:rsidR="00D82163" w:rsidRDefault="00D821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C4E2F59"/>
    <w:multiLevelType w:val="hybridMultilevel"/>
    <w:tmpl w:val="3EE2E2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E6F69"/>
    <w:multiLevelType w:val="hybridMultilevel"/>
    <w:tmpl w:val="A510FBC8"/>
    <w:lvl w:ilvl="0" w:tplc="449C77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3032"/>
    <w:multiLevelType w:val="hybridMultilevel"/>
    <w:tmpl w:val="2C284902"/>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7D13EC"/>
    <w:multiLevelType w:val="hybridMultilevel"/>
    <w:tmpl w:val="04F0CF9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1A78"/>
    <w:multiLevelType w:val="hybridMultilevel"/>
    <w:tmpl w:val="26F261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D14478B"/>
    <w:multiLevelType w:val="hybridMultilevel"/>
    <w:tmpl w:val="BB785C14"/>
    <w:lvl w:ilvl="0" w:tplc="10090019">
      <w:start w:val="1"/>
      <w:numFmt w:val="lowerLetter"/>
      <w:lvlText w:val="%1."/>
      <w:lvlJc w:val="left"/>
      <w:pPr>
        <w:ind w:left="1244" w:hanging="360"/>
      </w:pPr>
    </w:lvl>
    <w:lvl w:ilvl="1" w:tplc="10090019" w:tentative="1">
      <w:start w:val="1"/>
      <w:numFmt w:val="lowerLetter"/>
      <w:lvlText w:val="%2."/>
      <w:lvlJc w:val="left"/>
      <w:pPr>
        <w:ind w:left="1964" w:hanging="360"/>
      </w:pPr>
    </w:lvl>
    <w:lvl w:ilvl="2" w:tplc="1009001B" w:tentative="1">
      <w:start w:val="1"/>
      <w:numFmt w:val="lowerRoman"/>
      <w:lvlText w:val="%3."/>
      <w:lvlJc w:val="right"/>
      <w:pPr>
        <w:ind w:left="2684" w:hanging="180"/>
      </w:pPr>
    </w:lvl>
    <w:lvl w:ilvl="3" w:tplc="1009000F" w:tentative="1">
      <w:start w:val="1"/>
      <w:numFmt w:val="decimal"/>
      <w:lvlText w:val="%4."/>
      <w:lvlJc w:val="left"/>
      <w:pPr>
        <w:ind w:left="3404" w:hanging="360"/>
      </w:pPr>
    </w:lvl>
    <w:lvl w:ilvl="4" w:tplc="10090019" w:tentative="1">
      <w:start w:val="1"/>
      <w:numFmt w:val="lowerLetter"/>
      <w:lvlText w:val="%5."/>
      <w:lvlJc w:val="left"/>
      <w:pPr>
        <w:ind w:left="4124" w:hanging="360"/>
      </w:pPr>
    </w:lvl>
    <w:lvl w:ilvl="5" w:tplc="1009001B" w:tentative="1">
      <w:start w:val="1"/>
      <w:numFmt w:val="lowerRoman"/>
      <w:lvlText w:val="%6."/>
      <w:lvlJc w:val="right"/>
      <w:pPr>
        <w:ind w:left="4844" w:hanging="180"/>
      </w:pPr>
    </w:lvl>
    <w:lvl w:ilvl="6" w:tplc="1009000F" w:tentative="1">
      <w:start w:val="1"/>
      <w:numFmt w:val="decimal"/>
      <w:lvlText w:val="%7."/>
      <w:lvlJc w:val="left"/>
      <w:pPr>
        <w:ind w:left="5564" w:hanging="360"/>
      </w:pPr>
    </w:lvl>
    <w:lvl w:ilvl="7" w:tplc="10090019" w:tentative="1">
      <w:start w:val="1"/>
      <w:numFmt w:val="lowerLetter"/>
      <w:lvlText w:val="%8."/>
      <w:lvlJc w:val="left"/>
      <w:pPr>
        <w:ind w:left="6284" w:hanging="360"/>
      </w:pPr>
    </w:lvl>
    <w:lvl w:ilvl="8" w:tplc="1009001B" w:tentative="1">
      <w:start w:val="1"/>
      <w:numFmt w:val="lowerRoman"/>
      <w:lvlText w:val="%9."/>
      <w:lvlJc w:val="right"/>
      <w:pPr>
        <w:ind w:left="7004" w:hanging="180"/>
      </w:pPr>
    </w:lvl>
  </w:abstractNum>
  <w:abstractNum w:abstractNumId="7" w15:restartNumberingAfterBreak="0">
    <w:nsid w:val="25FE38FC"/>
    <w:multiLevelType w:val="hybridMultilevel"/>
    <w:tmpl w:val="A5B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B45120"/>
    <w:multiLevelType w:val="hybridMultilevel"/>
    <w:tmpl w:val="D9A413BA"/>
    <w:lvl w:ilvl="0" w:tplc="22E035EE">
      <w:start w:val="1"/>
      <w:numFmt w:val="bullet"/>
      <w:lvlText w:val=""/>
      <w:lvlPicBulletId w:val="0"/>
      <w:lvlJc w:val="left"/>
      <w:pPr>
        <w:tabs>
          <w:tab w:val="num" w:pos="720"/>
        </w:tabs>
        <w:ind w:left="720" w:hanging="360"/>
      </w:pPr>
      <w:rPr>
        <w:rFonts w:ascii="Symbol" w:hAnsi="Symbol" w:hint="default"/>
      </w:rPr>
    </w:lvl>
    <w:lvl w:ilvl="1" w:tplc="4AA6513A" w:tentative="1">
      <w:start w:val="1"/>
      <w:numFmt w:val="bullet"/>
      <w:lvlText w:val=""/>
      <w:lvlJc w:val="left"/>
      <w:pPr>
        <w:tabs>
          <w:tab w:val="num" w:pos="1440"/>
        </w:tabs>
        <w:ind w:left="1440" w:hanging="360"/>
      </w:pPr>
      <w:rPr>
        <w:rFonts w:ascii="Symbol" w:hAnsi="Symbol" w:hint="default"/>
      </w:rPr>
    </w:lvl>
    <w:lvl w:ilvl="2" w:tplc="95CAF64E" w:tentative="1">
      <w:start w:val="1"/>
      <w:numFmt w:val="bullet"/>
      <w:lvlText w:val=""/>
      <w:lvlJc w:val="left"/>
      <w:pPr>
        <w:tabs>
          <w:tab w:val="num" w:pos="2160"/>
        </w:tabs>
        <w:ind w:left="2160" w:hanging="360"/>
      </w:pPr>
      <w:rPr>
        <w:rFonts w:ascii="Symbol" w:hAnsi="Symbol" w:hint="default"/>
      </w:rPr>
    </w:lvl>
    <w:lvl w:ilvl="3" w:tplc="DA9C1C82" w:tentative="1">
      <w:start w:val="1"/>
      <w:numFmt w:val="bullet"/>
      <w:lvlText w:val=""/>
      <w:lvlJc w:val="left"/>
      <w:pPr>
        <w:tabs>
          <w:tab w:val="num" w:pos="2880"/>
        </w:tabs>
        <w:ind w:left="2880" w:hanging="360"/>
      </w:pPr>
      <w:rPr>
        <w:rFonts w:ascii="Symbol" w:hAnsi="Symbol" w:hint="default"/>
      </w:rPr>
    </w:lvl>
    <w:lvl w:ilvl="4" w:tplc="FBD026FC" w:tentative="1">
      <w:start w:val="1"/>
      <w:numFmt w:val="bullet"/>
      <w:lvlText w:val=""/>
      <w:lvlJc w:val="left"/>
      <w:pPr>
        <w:tabs>
          <w:tab w:val="num" w:pos="3600"/>
        </w:tabs>
        <w:ind w:left="3600" w:hanging="360"/>
      </w:pPr>
      <w:rPr>
        <w:rFonts w:ascii="Symbol" w:hAnsi="Symbol" w:hint="default"/>
      </w:rPr>
    </w:lvl>
    <w:lvl w:ilvl="5" w:tplc="1FB0E31E" w:tentative="1">
      <w:start w:val="1"/>
      <w:numFmt w:val="bullet"/>
      <w:lvlText w:val=""/>
      <w:lvlJc w:val="left"/>
      <w:pPr>
        <w:tabs>
          <w:tab w:val="num" w:pos="4320"/>
        </w:tabs>
        <w:ind w:left="4320" w:hanging="360"/>
      </w:pPr>
      <w:rPr>
        <w:rFonts w:ascii="Symbol" w:hAnsi="Symbol" w:hint="default"/>
      </w:rPr>
    </w:lvl>
    <w:lvl w:ilvl="6" w:tplc="AA2E458E" w:tentative="1">
      <w:start w:val="1"/>
      <w:numFmt w:val="bullet"/>
      <w:lvlText w:val=""/>
      <w:lvlJc w:val="left"/>
      <w:pPr>
        <w:tabs>
          <w:tab w:val="num" w:pos="5040"/>
        </w:tabs>
        <w:ind w:left="5040" w:hanging="360"/>
      </w:pPr>
      <w:rPr>
        <w:rFonts w:ascii="Symbol" w:hAnsi="Symbol" w:hint="default"/>
      </w:rPr>
    </w:lvl>
    <w:lvl w:ilvl="7" w:tplc="D810771A" w:tentative="1">
      <w:start w:val="1"/>
      <w:numFmt w:val="bullet"/>
      <w:lvlText w:val=""/>
      <w:lvlJc w:val="left"/>
      <w:pPr>
        <w:tabs>
          <w:tab w:val="num" w:pos="5760"/>
        </w:tabs>
        <w:ind w:left="5760" w:hanging="360"/>
      </w:pPr>
      <w:rPr>
        <w:rFonts w:ascii="Symbol" w:hAnsi="Symbol" w:hint="default"/>
      </w:rPr>
    </w:lvl>
    <w:lvl w:ilvl="8" w:tplc="B3425D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9C144BC"/>
    <w:multiLevelType w:val="hybridMultilevel"/>
    <w:tmpl w:val="432A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B55823"/>
    <w:multiLevelType w:val="hybridMultilevel"/>
    <w:tmpl w:val="EE5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37C11"/>
    <w:multiLevelType w:val="hybridMultilevel"/>
    <w:tmpl w:val="D9F650B2"/>
    <w:lvl w:ilvl="0" w:tplc="1009000F">
      <w:start w:val="1"/>
      <w:numFmt w:val="decimal"/>
      <w:lvlText w:val="%1."/>
      <w:lvlJc w:val="left"/>
      <w:pPr>
        <w:ind w:left="862" w:hanging="360"/>
      </w:pPr>
    </w:lvl>
    <w:lvl w:ilvl="1" w:tplc="10090019">
      <w:start w:val="1"/>
      <w:numFmt w:val="lowerLetter"/>
      <w:lvlText w:val="%2."/>
      <w:lvlJc w:val="left"/>
      <w:pPr>
        <w:ind w:left="1516" w:hanging="360"/>
      </w:pPr>
    </w:lvl>
    <w:lvl w:ilvl="2" w:tplc="1009001B">
      <w:start w:val="1"/>
      <w:numFmt w:val="lowerRoman"/>
      <w:lvlText w:val="%3."/>
      <w:lvlJc w:val="right"/>
      <w:pPr>
        <w:ind w:left="2236" w:hanging="180"/>
      </w:pPr>
    </w:lvl>
    <w:lvl w:ilvl="3" w:tplc="1009000F">
      <w:start w:val="1"/>
      <w:numFmt w:val="decimal"/>
      <w:lvlText w:val="%4."/>
      <w:lvlJc w:val="left"/>
      <w:pPr>
        <w:ind w:left="2956" w:hanging="360"/>
      </w:pPr>
    </w:lvl>
    <w:lvl w:ilvl="4" w:tplc="10090019">
      <w:start w:val="1"/>
      <w:numFmt w:val="lowerLetter"/>
      <w:lvlText w:val="%5."/>
      <w:lvlJc w:val="left"/>
      <w:pPr>
        <w:ind w:left="3676" w:hanging="360"/>
      </w:pPr>
    </w:lvl>
    <w:lvl w:ilvl="5" w:tplc="1009001B">
      <w:start w:val="1"/>
      <w:numFmt w:val="lowerRoman"/>
      <w:lvlText w:val="%6."/>
      <w:lvlJc w:val="right"/>
      <w:pPr>
        <w:ind w:left="4396" w:hanging="180"/>
      </w:pPr>
    </w:lvl>
    <w:lvl w:ilvl="6" w:tplc="1009000F">
      <w:start w:val="1"/>
      <w:numFmt w:val="decimal"/>
      <w:lvlText w:val="%7."/>
      <w:lvlJc w:val="left"/>
      <w:pPr>
        <w:ind w:left="5116" w:hanging="360"/>
      </w:pPr>
    </w:lvl>
    <w:lvl w:ilvl="7" w:tplc="10090019">
      <w:start w:val="1"/>
      <w:numFmt w:val="lowerLetter"/>
      <w:lvlText w:val="%8."/>
      <w:lvlJc w:val="left"/>
      <w:pPr>
        <w:ind w:left="5836" w:hanging="360"/>
      </w:pPr>
    </w:lvl>
    <w:lvl w:ilvl="8" w:tplc="1009001B">
      <w:start w:val="1"/>
      <w:numFmt w:val="lowerRoman"/>
      <w:lvlText w:val="%9."/>
      <w:lvlJc w:val="right"/>
      <w:pPr>
        <w:ind w:left="6556" w:hanging="180"/>
      </w:pPr>
    </w:lvl>
  </w:abstractNum>
  <w:abstractNum w:abstractNumId="12" w15:restartNumberingAfterBreak="0">
    <w:nsid w:val="7923098B"/>
    <w:multiLevelType w:val="hybridMultilevel"/>
    <w:tmpl w:val="B42A3B80"/>
    <w:lvl w:ilvl="0" w:tplc="10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79A87055"/>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0"/>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6"/>
  </w:num>
  <w:num w:numId="13">
    <w:abstractNumId w:val="7"/>
  </w:num>
  <w:num w:numId="14">
    <w:abstractNumId w:val="12"/>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47A2"/>
    <w:rsid w:val="00047A0A"/>
    <w:rsid w:val="00064511"/>
    <w:rsid w:val="00081FCF"/>
    <w:rsid w:val="000A6E64"/>
    <w:rsid w:val="000B08D6"/>
    <w:rsid w:val="000B0D84"/>
    <w:rsid w:val="000B7C11"/>
    <w:rsid w:val="000E653F"/>
    <w:rsid w:val="001026D2"/>
    <w:rsid w:val="00113051"/>
    <w:rsid w:val="001137E8"/>
    <w:rsid w:val="00113FCB"/>
    <w:rsid w:val="001272D9"/>
    <w:rsid w:val="0013569F"/>
    <w:rsid w:val="00145BC6"/>
    <w:rsid w:val="001A2990"/>
    <w:rsid w:val="001F1D7C"/>
    <w:rsid w:val="00206319"/>
    <w:rsid w:val="0023631C"/>
    <w:rsid w:val="00247CA8"/>
    <w:rsid w:val="002554CF"/>
    <w:rsid w:val="00262C24"/>
    <w:rsid w:val="00265337"/>
    <w:rsid w:val="00267C56"/>
    <w:rsid w:val="00285C35"/>
    <w:rsid w:val="00286FBD"/>
    <w:rsid w:val="002915BC"/>
    <w:rsid w:val="002C6064"/>
    <w:rsid w:val="002C646B"/>
    <w:rsid w:val="002D2DA6"/>
    <w:rsid w:val="002E0396"/>
    <w:rsid w:val="002E32B0"/>
    <w:rsid w:val="002E406A"/>
    <w:rsid w:val="00301CEB"/>
    <w:rsid w:val="003062A4"/>
    <w:rsid w:val="00310A16"/>
    <w:rsid w:val="0032700D"/>
    <w:rsid w:val="0034624F"/>
    <w:rsid w:val="00373D90"/>
    <w:rsid w:val="00381A75"/>
    <w:rsid w:val="00392632"/>
    <w:rsid w:val="00392FBB"/>
    <w:rsid w:val="00396C18"/>
    <w:rsid w:val="003A4919"/>
    <w:rsid w:val="003C36D0"/>
    <w:rsid w:val="003C4D7C"/>
    <w:rsid w:val="003D0FCB"/>
    <w:rsid w:val="003D13C3"/>
    <w:rsid w:val="003D3F70"/>
    <w:rsid w:val="003D77E9"/>
    <w:rsid w:val="00406369"/>
    <w:rsid w:val="004105F5"/>
    <w:rsid w:val="0042388C"/>
    <w:rsid w:val="004323C1"/>
    <w:rsid w:val="00437B70"/>
    <w:rsid w:val="004404EA"/>
    <w:rsid w:val="00446A72"/>
    <w:rsid w:val="004547C3"/>
    <w:rsid w:val="00457F2B"/>
    <w:rsid w:val="00464176"/>
    <w:rsid w:val="00486B13"/>
    <w:rsid w:val="004942B7"/>
    <w:rsid w:val="004A1E43"/>
    <w:rsid w:val="004A4BE9"/>
    <w:rsid w:val="004B1BF9"/>
    <w:rsid w:val="004D48B7"/>
    <w:rsid w:val="004D7EF9"/>
    <w:rsid w:val="004F083D"/>
    <w:rsid w:val="0052768C"/>
    <w:rsid w:val="00545D0D"/>
    <w:rsid w:val="00567AB5"/>
    <w:rsid w:val="00572AA9"/>
    <w:rsid w:val="00591DB9"/>
    <w:rsid w:val="005A360A"/>
    <w:rsid w:val="005E5F4F"/>
    <w:rsid w:val="005F3136"/>
    <w:rsid w:val="006016E6"/>
    <w:rsid w:val="006150B2"/>
    <w:rsid w:val="00627B97"/>
    <w:rsid w:val="00644370"/>
    <w:rsid w:val="00646932"/>
    <w:rsid w:val="0065161B"/>
    <w:rsid w:val="00655CD8"/>
    <w:rsid w:val="006563A9"/>
    <w:rsid w:val="00691159"/>
    <w:rsid w:val="006A5BB8"/>
    <w:rsid w:val="006A7D9A"/>
    <w:rsid w:val="006B4C34"/>
    <w:rsid w:val="006B6ACA"/>
    <w:rsid w:val="006C3BBF"/>
    <w:rsid w:val="006C7AC6"/>
    <w:rsid w:val="006E00FA"/>
    <w:rsid w:val="007002AA"/>
    <w:rsid w:val="00710764"/>
    <w:rsid w:val="007162A0"/>
    <w:rsid w:val="00737048"/>
    <w:rsid w:val="007452BD"/>
    <w:rsid w:val="00756458"/>
    <w:rsid w:val="00773E88"/>
    <w:rsid w:val="007943C7"/>
    <w:rsid w:val="007963DF"/>
    <w:rsid w:val="007B0FB0"/>
    <w:rsid w:val="007D1FDB"/>
    <w:rsid w:val="007E4720"/>
    <w:rsid w:val="008158C2"/>
    <w:rsid w:val="00816DA7"/>
    <w:rsid w:val="00844DB4"/>
    <w:rsid w:val="00846FB1"/>
    <w:rsid w:val="00850B5B"/>
    <w:rsid w:val="0085603A"/>
    <w:rsid w:val="00861339"/>
    <w:rsid w:val="008633EF"/>
    <w:rsid w:val="00865FFB"/>
    <w:rsid w:val="00877EE7"/>
    <w:rsid w:val="00883D8D"/>
    <w:rsid w:val="00895616"/>
    <w:rsid w:val="008A4533"/>
    <w:rsid w:val="008D60C9"/>
    <w:rsid w:val="008E4F1D"/>
    <w:rsid w:val="009151DA"/>
    <w:rsid w:val="00924E6F"/>
    <w:rsid w:val="00953DFC"/>
    <w:rsid w:val="00957325"/>
    <w:rsid w:val="0099734F"/>
    <w:rsid w:val="009A31DB"/>
    <w:rsid w:val="009B13C4"/>
    <w:rsid w:val="009D30CA"/>
    <w:rsid w:val="00A05C42"/>
    <w:rsid w:val="00A31C35"/>
    <w:rsid w:val="00A501AC"/>
    <w:rsid w:val="00A52D13"/>
    <w:rsid w:val="00A607A3"/>
    <w:rsid w:val="00A63BE0"/>
    <w:rsid w:val="00A63DD6"/>
    <w:rsid w:val="00A72906"/>
    <w:rsid w:val="00A80815"/>
    <w:rsid w:val="00A8217C"/>
    <w:rsid w:val="00A85D36"/>
    <w:rsid w:val="00A94231"/>
    <w:rsid w:val="00AA5E09"/>
    <w:rsid w:val="00AB130E"/>
    <w:rsid w:val="00AB2086"/>
    <w:rsid w:val="00AB2197"/>
    <w:rsid w:val="00AC3A8B"/>
    <w:rsid w:val="00AE3631"/>
    <w:rsid w:val="00AE3C00"/>
    <w:rsid w:val="00AF3880"/>
    <w:rsid w:val="00B12CC6"/>
    <w:rsid w:val="00B40DBF"/>
    <w:rsid w:val="00B62BC9"/>
    <w:rsid w:val="00B64986"/>
    <w:rsid w:val="00B7348A"/>
    <w:rsid w:val="00B7545F"/>
    <w:rsid w:val="00B97DD0"/>
    <w:rsid w:val="00BB6CC0"/>
    <w:rsid w:val="00BD2002"/>
    <w:rsid w:val="00C157AD"/>
    <w:rsid w:val="00C72884"/>
    <w:rsid w:val="00CC1520"/>
    <w:rsid w:val="00CC4980"/>
    <w:rsid w:val="00CD64E9"/>
    <w:rsid w:val="00CE439D"/>
    <w:rsid w:val="00CF0CF7"/>
    <w:rsid w:val="00CF4AA5"/>
    <w:rsid w:val="00CF5C72"/>
    <w:rsid w:val="00D5690A"/>
    <w:rsid w:val="00D72FA0"/>
    <w:rsid w:val="00D82163"/>
    <w:rsid w:val="00D8634B"/>
    <w:rsid w:val="00D9058F"/>
    <w:rsid w:val="00D95830"/>
    <w:rsid w:val="00DB323C"/>
    <w:rsid w:val="00DB72E6"/>
    <w:rsid w:val="00DC1FF0"/>
    <w:rsid w:val="00DC3828"/>
    <w:rsid w:val="00DF72D6"/>
    <w:rsid w:val="00E1265F"/>
    <w:rsid w:val="00E1676A"/>
    <w:rsid w:val="00E21DEA"/>
    <w:rsid w:val="00E22492"/>
    <w:rsid w:val="00E32F4D"/>
    <w:rsid w:val="00E33774"/>
    <w:rsid w:val="00E33CF3"/>
    <w:rsid w:val="00E478B7"/>
    <w:rsid w:val="00E52692"/>
    <w:rsid w:val="00E55A85"/>
    <w:rsid w:val="00E61416"/>
    <w:rsid w:val="00E6474D"/>
    <w:rsid w:val="00E91D87"/>
    <w:rsid w:val="00EA52D7"/>
    <w:rsid w:val="00EC36EF"/>
    <w:rsid w:val="00ED192F"/>
    <w:rsid w:val="00ED44FF"/>
    <w:rsid w:val="00EE730B"/>
    <w:rsid w:val="00EF64E1"/>
    <w:rsid w:val="00EF66F5"/>
    <w:rsid w:val="00F22143"/>
    <w:rsid w:val="00F3538C"/>
    <w:rsid w:val="00F61E67"/>
    <w:rsid w:val="00F94195"/>
    <w:rsid w:val="00FB203E"/>
    <w:rsid w:val="00FD4605"/>
    <w:rsid w:val="00FE7170"/>
    <w:rsid w:val="00FF19BE"/>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4867E"/>
  <w15:docId w15:val="{849D1A9B-1853-4C7E-BD5D-ACC3F150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CEB"/>
    <w:rPr>
      <w:rFonts w:ascii="Arial" w:hAnsi="Arial"/>
      <w:sz w:val="24"/>
      <w:szCs w:val="24"/>
    </w:rPr>
  </w:style>
  <w:style w:type="paragraph" w:styleId="Heading1">
    <w:name w:val="heading 1"/>
    <w:basedOn w:val="Normal"/>
    <w:next w:val="Normal"/>
    <w:link w:val="Heading1Char"/>
    <w:uiPriority w:val="9"/>
    <w:qFormat/>
    <w:rsid w:val="00301CE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01CE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01CEB"/>
    <w:pPr>
      <w:outlineLvl w:val="2"/>
    </w:pPr>
    <w:rPr>
      <w:rFonts w:cs="Arial"/>
      <w:i w:val="0"/>
    </w:rPr>
  </w:style>
  <w:style w:type="paragraph" w:styleId="Heading4">
    <w:name w:val="heading 4"/>
    <w:basedOn w:val="Normal"/>
    <w:next w:val="Normal"/>
    <w:link w:val="Heading4Char"/>
    <w:uiPriority w:val="9"/>
    <w:unhideWhenUsed/>
    <w:qFormat/>
    <w:rsid w:val="00301CE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01CE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01CE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01CE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01CE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01CE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01C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CEB"/>
  </w:style>
  <w:style w:type="character" w:customStyle="1" w:styleId="Heading1Char">
    <w:name w:val="Heading 1 Char"/>
    <w:basedOn w:val="DefaultParagraphFont"/>
    <w:link w:val="Heading1"/>
    <w:uiPriority w:val="9"/>
    <w:rsid w:val="00301CEB"/>
    <w:rPr>
      <w:rFonts w:ascii="Arial" w:eastAsiaTheme="majorEastAsia" w:hAnsi="Arial" w:cstheme="majorBidi"/>
      <w:sz w:val="40"/>
    </w:rPr>
  </w:style>
  <w:style w:type="character" w:customStyle="1" w:styleId="Heading2Char">
    <w:name w:val="Heading 2 Char"/>
    <w:basedOn w:val="DefaultParagraphFont"/>
    <w:link w:val="Heading2"/>
    <w:uiPriority w:val="9"/>
    <w:rsid w:val="00301CEB"/>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01CEB"/>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01CE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01CEB"/>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01CEB"/>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01CEB"/>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01CEB"/>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01CEB"/>
    <w:rPr>
      <w:rFonts w:ascii="Arial" w:eastAsiaTheme="majorEastAsia" w:hAnsi="Arial" w:cstheme="majorBidi"/>
      <w:i/>
      <w:iCs/>
      <w:sz w:val="24"/>
    </w:rPr>
  </w:style>
  <w:style w:type="paragraph" w:styleId="Title">
    <w:name w:val="Title"/>
    <w:basedOn w:val="Normal"/>
    <w:next w:val="Normal"/>
    <w:link w:val="TitleChar"/>
    <w:uiPriority w:val="9"/>
    <w:qFormat/>
    <w:rsid w:val="00301CE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01CEB"/>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01CE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01CEB"/>
    <w:rPr>
      <w:rFonts w:ascii="Arial" w:eastAsiaTheme="majorEastAsia" w:hAnsi="Arial" w:cstheme="majorBidi"/>
      <w:i/>
      <w:iCs/>
      <w:spacing w:val="15"/>
      <w:sz w:val="24"/>
      <w:szCs w:val="24"/>
    </w:rPr>
  </w:style>
  <w:style w:type="character" w:styleId="Strong">
    <w:name w:val="Strong"/>
    <w:basedOn w:val="DefaultParagraphFont"/>
    <w:uiPriority w:val="22"/>
    <w:qFormat/>
    <w:rsid w:val="00301CEB"/>
    <w:rPr>
      <w:rFonts w:ascii="Arial" w:hAnsi="Arial"/>
      <w:b/>
      <w:bCs/>
    </w:rPr>
  </w:style>
  <w:style w:type="character" w:styleId="Emphasis">
    <w:name w:val="Emphasis"/>
    <w:basedOn w:val="DefaultParagraphFont"/>
    <w:uiPriority w:val="20"/>
    <w:qFormat/>
    <w:rsid w:val="00301CEB"/>
    <w:rPr>
      <w:rFonts w:ascii="Arial" w:hAnsi="Arial"/>
      <w:i/>
      <w:iCs/>
    </w:rPr>
  </w:style>
  <w:style w:type="paragraph" w:styleId="NoSpacing">
    <w:name w:val="No Spacing"/>
    <w:uiPriority w:val="1"/>
    <w:qFormat/>
    <w:rsid w:val="00301CEB"/>
    <w:pPr>
      <w:spacing w:after="0" w:line="240" w:lineRule="auto"/>
    </w:pPr>
    <w:rPr>
      <w:rFonts w:ascii="Arial" w:hAnsi="Arial" w:cs="Arial"/>
      <w:bCs/>
      <w:sz w:val="24"/>
      <w:szCs w:val="24"/>
    </w:rPr>
  </w:style>
  <w:style w:type="paragraph" w:styleId="ListParagraph">
    <w:name w:val="List Paragraph"/>
    <w:basedOn w:val="Normal"/>
    <w:uiPriority w:val="34"/>
    <w:qFormat/>
    <w:rsid w:val="00301CEB"/>
    <w:pPr>
      <w:ind w:left="720"/>
      <w:contextualSpacing/>
    </w:pPr>
  </w:style>
  <w:style w:type="paragraph" w:styleId="Quote">
    <w:name w:val="Quote"/>
    <w:basedOn w:val="Normal"/>
    <w:next w:val="Normal"/>
    <w:link w:val="QuoteChar"/>
    <w:uiPriority w:val="29"/>
    <w:qFormat/>
    <w:rsid w:val="00301CEB"/>
    <w:rPr>
      <w:i/>
      <w:iCs/>
      <w:color w:val="000000" w:themeColor="text1"/>
    </w:rPr>
  </w:style>
  <w:style w:type="character" w:customStyle="1" w:styleId="QuoteChar">
    <w:name w:val="Quote Char"/>
    <w:basedOn w:val="DefaultParagraphFont"/>
    <w:link w:val="Quote"/>
    <w:uiPriority w:val="29"/>
    <w:rsid w:val="00301CEB"/>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01CE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01CEB"/>
    <w:rPr>
      <w:rFonts w:ascii="Arial" w:hAnsi="Arial"/>
      <w:b/>
      <w:bCs/>
      <w:i/>
      <w:iCs/>
      <w:sz w:val="24"/>
      <w:szCs w:val="24"/>
    </w:rPr>
  </w:style>
  <w:style w:type="character" w:styleId="SubtleEmphasis">
    <w:name w:val="Subtle Emphasis"/>
    <w:basedOn w:val="DefaultParagraphFont"/>
    <w:uiPriority w:val="19"/>
    <w:qFormat/>
    <w:rsid w:val="00301CEB"/>
    <w:rPr>
      <w:rFonts w:ascii="Arial" w:hAnsi="Arial"/>
      <w:i/>
      <w:iCs/>
      <w:color w:val="808080" w:themeColor="text1" w:themeTint="7F"/>
    </w:rPr>
  </w:style>
  <w:style w:type="character" w:styleId="IntenseEmphasis">
    <w:name w:val="Intense Emphasis"/>
    <w:basedOn w:val="DefaultParagraphFont"/>
    <w:uiPriority w:val="21"/>
    <w:qFormat/>
    <w:rsid w:val="00301CEB"/>
    <w:rPr>
      <w:rFonts w:ascii="Arial" w:hAnsi="Arial"/>
      <w:b/>
      <w:bCs/>
    </w:rPr>
  </w:style>
  <w:style w:type="character" w:styleId="SubtleReference">
    <w:name w:val="Subtle Reference"/>
    <w:basedOn w:val="DefaultParagraphFont"/>
    <w:uiPriority w:val="31"/>
    <w:qFormat/>
    <w:rsid w:val="00301CEB"/>
    <w:rPr>
      <w:rFonts w:ascii="Arial" w:hAnsi="Arial"/>
      <w:smallCaps/>
      <w:color w:val="C0504D" w:themeColor="accent2"/>
      <w:u w:val="single"/>
    </w:rPr>
  </w:style>
  <w:style w:type="character" w:styleId="Hyperlink">
    <w:name w:val="Hyperlink"/>
    <w:basedOn w:val="DefaultParagraphFont"/>
    <w:uiPriority w:val="99"/>
    <w:unhideWhenUsed/>
    <w:rsid w:val="00301CEB"/>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01CEB"/>
    <w:rPr>
      <w:b/>
      <w:bCs/>
      <w:smallCaps/>
      <w:color w:val="C0504D" w:themeColor="accent2"/>
      <w:spacing w:val="5"/>
      <w:u w:val="single"/>
    </w:rPr>
  </w:style>
  <w:style w:type="character" w:styleId="BookTitle">
    <w:name w:val="Book Title"/>
    <w:basedOn w:val="DefaultParagraphFont"/>
    <w:uiPriority w:val="33"/>
    <w:qFormat/>
    <w:rsid w:val="00301CEB"/>
    <w:rPr>
      <w:b/>
      <w:bCs/>
      <w:smallCaps/>
      <w:spacing w:val="5"/>
    </w:rPr>
  </w:style>
  <w:style w:type="character" w:styleId="FollowedHyperlink">
    <w:name w:val="FollowedHyperlink"/>
    <w:basedOn w:val="DefaultParagraphFont"/>
    <w:uiPriority w:val="99"/>
    <w:semiHidden/>
    <w:unhideWhenUsed/>
    <w:rsid w:val="00301CEB"/>
    <w:rPr>
      <w:color w:val="800080" w:themeColor="followedHyperlink"/>
      <w:u w:val="single"/>
    </w:rPr>
  </w:style>
  <w:style w:type="paragraph" w:customStyle="1" w:styleId="AppleFill">
    <w:name w:val="Apple Fill"/>
    <w:basedOn w:val="Normal"/>
    <w:link w:val="AppleFillChar"/>
    <w:uiPriority w:val="10"/>
    <w:qFormat/>
    <w:rsid w:val="00301CEB"/>
    <w:rPr>
      <w:b/>
      <w:color w:val="FFFFFF" w:themeColor="background1"/>
      <w:shd w:val="clear" w:color="auto" w:fill="9BBB59" w:themeFill="accent3"/>
    </w:rPr>
  </w:style>
  <w:style w:type="paragraph" w:customStyle="1" w:styleId="AquaFill">
    <w:name w:val="Aqua Fill"/>
    <w:basedOn w:val="Normal"/>
    <w:link w:val="AquaFillChar"/>
    <w:uiPriority w:val="10"/>
    <w:qFormat/>
    <w:rsid w:val="00301CE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01CEB"/>
    <w:rPr>
      <w:rFonts w:ascii="Arial" w:hAnsi="Arial"/>
      <w:b/>
      <w:color w:val="FFFFFF" w:themeColor="background1"/>
      <w:sz w:val="24"/>
      <w:szCs w:val="24"/>
    </w:rPr>
  </w:style>
  <w:style w:type="paragraph" w:customStyle="1" w:styleId="WineFill">
    <w:name w:val="Wine Fill"/>
    <w:basedOn w:val="Normal"/>
    <w:link w:val="WineFillChar"/>
    <w:uiPriority w:val="9"/>
    <w:qFormat/>
    <w:rsid w:val="00301CE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01CEB"/>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01CEB"/>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4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768">
      <w:bodyDiv w:val="1"/>
      <w:marLeft w:val="0"/>
      <w:marRight w:val="0"/>
      <w:marTop w:val="0"/>
      <w:marBottom w:val="0"/>
      <w:divBdr>
        <w:top w:val="none" w:sz="0" w:space="0" w:color="auto"/>
        <w:left w:val="none" w:sz="0" w:space="0" w:color="auto"/>
        <w:bottom w:val="none" w:sz="0" w:space="0" w:color="auto"/>
        <w:right w:val="none" w:sz="0" w:space="0" w:color="auto"/>
      </w:divBdr>
      <w:divsChild>
        <w:div w:id="2141267056">
          <w:marLeft w:val="0"/>
          <w:marRight w:val="0"/>
          <w:marTop w:val="150"/>
          <w:marBottom w:val="0"/>
          <w:divBdr>
            <w:top w:val="none" w:sz="0" w:space="0" w:color="auto"/>
            <w:left w:val="none" w:sz="0" w:space="0" w:color="auto"/>
            <w:bottom w:val="none" w:sz="0" w:space="0" w:color="auto"/>
            <w:right w:val="none" w:sz="0" w:space="0" w:color="auto"/>
          </w:divBdr>
          <w:divsChild>
            <w:div w:id="124126732">
              <w:marLeft w:val="-225"/>
              <w:marRight w:val="-225"/>
              <w:marTop w:val="0"/>
              <w:marBottom w:val="0"/>
              <w:divBdr>
                <w:top w:val="none" w:sz="0" w:space="0" w:color="auto"/>
                <w:left w:val="none" w:sz="0" w:space="0" w:color="auto"/>
                <w:bottom w:val="none" w:sz="0" w:space="0" w:color="auto"/>
                <w:right w:val="none" w:sz="0" w:space="0" w:color="auto"/>
              </w:divBdr>
              <w:divsChild>
                <w:div w:id="43019896">
                  <w:marLeft w:val="0"/>
                  <w:marRight w:val="0"/>
                  <w:marTop w:val="0"/>
                  <w:marBottom w:val="0"/>
                  <w:divBdr>
                    <w:top w:val="none" w:sz="0" w:space="0" w:color="auto"/>
                    <w:left w:val="none" w:sz="0" w:space="0" w:color="auto"/>
                    <w:bottom w:val="none" w:sz="0" w:space="0" w:color="auto"/>
                    <w:right w:val="none" w:sz="0" w:space="0" w:color="auto"/>
                  </w:divBdr>
                  <w:divsChild>
                    <w:div w:id="1928417339">
                      <w:marLeft w:val="0"/>
                      <w:marRight w:val="0"/>
                      <w:marTop w:val="0"/>
                      <w:marBottom w:val="0"/>
                      <w:divBdr>
                        <w:top w:val="none" w:sz="0" w:space="0" w:color="auto"/>
                        <w:left w:val="none" w:sz="0" w:space="0" w:color="auto"/>
                        <w:bottom w:val="none" w:sz="0" w:space="0" w:color="auto"/>
                        <w:right w:val="none" w:sz="0" w:space="0" w:color="auto"/>
                      </w:divBdr>
                      <w:divsChild>
                        <w:div w:id="2122147256">
                          <w:marLeft w:val="0"/>
                          <w:marRight w:val="0"/>
                          <w:marTop w:val="0"/>
                          <w:marBottom w:val="0"/>
                          <w:divBdr>
                            <w:top w:val="none" w:sz="0" w:space="0" w:color="auto"/>
                            <w:left w:val="none" w:sz="0" w:space="0" w:color="auto"/>
                            <w:bottom w:val="none" w:sz="0" w:space="0" w:color="auto"/>
                            <w:right w:val="none" w:sz="0" w:space="0" w:color="auto"/>
                          </w:divBdr>
                          <w:divsChild>
                            <w:div w:id="636616864">
                              <w:marLeft w:val="0"/>
                              <w:marRight w:val="0"/>
                              <w:marTop w:val="0"/>
                              <w:marBottom w:val="0"/>
                              <w:divBdr>
                                <w:top w:val="none" w:sz="0" w:space="0" w:color="auto"/>
                                <w:left w:val="none" w:sz="0" w:space="0" w:color="auto"/>
                                <w:bottom w:val="none" w:sz="0" w:space="0" w:color="auto"/>
                                <w:right w:val="none" w:sz="0" w:space="0" w:color="auto"/>
                              </w:divBdr>
                              <w:divsChild>
                                <w:div w:id="220289541">
                                  <w:marLeft w:val="0"/>
                                  <w:marRight w:val="0"/>
                                  <w:marTop w:val="0"/>
                                  <w:marBottom w:val="0"/>
                                  <w:divBdr>
                                    <w:top w:val="none" w:sz="0" w:space="0" w:color="auto"/>
                                    <w:left w:val="none" w:sz="0" w:space="0" w:color="auto"/>
                                    <w:bottom w:val="none" w:sz="0" w:space="0" w:color="auto"/>
                                    <w:right w:val="none" w:sz="0" w:space="0" w:color="auto"/>
                                  </w:divBdr>
                                  <w:divsChild>
                                    <w:div w:id="1045720963">
                                      <w:marLeft w:val="0"/>
                                      <w:marRight w:val="0"/>
                                      <w:marTop w:val="0"/>
                                      <w:marBottom w:val="0"/>
                                      <w:divBdr>
                                        <w:top w:val="none" w:sz="0" w:space="0" w:color="auto"/>
                                        <w:left w:val="none" w:sz="0" w:space="0" w:color="auto"/>
                                        <w:bottom w:val="none" w:sz="0" w:space="0" w:color="auto"/>
                                        <w:right w:val="none" w:sz="0" w:space="0" w:color="auto"/>
                                      </w:divBdr>
                                      <w:divsChild>
                                        <w:div w:id="476267226">
                                          <w:marLeft w:val="0"/>
                                          <w:marRight w:val="0"/>
                                          <w:marTop w:val="0"/>
                                          <w:marBottom w:val="0"/>
                                          <w:divBdr>
                                            <w:top w:val="none" w:sz="0" w:space="0" w:color="auto"/>
                                            <w:left w:val="none" w:sz="0" w:space="0" w:color="auto"/>
                                            <w:bottom w:val="none" w:sz="0" w:space="0" w:color="auto"/>
                                            <w:right w:val="none" w:sz="0" w:space="0" w:color="auto"/>
                                          </w:divBdr>
                                          <w:divsChild>
                                            <w:div w:id="992176503">
                                              <w:marLeft w:val="0"/>
                                              <w:marRight w:val="0"/>
                                              <w:marTop w:val="0"/>
                                              <w:marBottom w:val="0"/>
                                              <w:divBdr>
                                                <w:top w:val="none" w:sz="0" w:space="0" w:color="auto"/>
                                                <w:left w:val="none" w:sz="0" w:space="0" w:color="auto"/>
                                                <w:bottom w:val="none" w:sz="0" w:space="0" w:color="auto"/>
                                                <w:right w:val="none" w:sz="0" w:space="0" w:color="auto"/>
                                              </w:divBdr>
                                              <w:divsChild>
                                                <w:div w:id="889267431">
                                                  <w:marLeft w:val="0"/>
                                                  <w:marRight w:val="0"/>
                                                  <w:marTop w:val="0"/>
                                                  <w:marBottom w:val="0"/>
                                                  <w:divBdr>
                                                    <w:top w:val="none" w:sz="0" w:space="0" w:color="auto"/>
                                                    <w:left w:val="none" w:sz="0" w:space="0" w:color="auto"/>
                                                    <w:bottom w:val="none" w:sz="0" w:space="0" w:color="auto"/>
                                                    <w:right w:val="none" w:sz="0" w:space="0" w:color="auto"/>
                                                  </w:divBdr>
                                                  <w:divsChild>
                                                    <w:div w:id="731197501">
                                                      <w:marLeft w:val="0"/>
                                                      <w:marRight w:val="0"/>
                                                      <w:marTop w:val="0"/>
                                                      <w:marBottom w:val="0"/>
                                                      <w:divBdr>
                                                        <w:top w:val="none" w:sz="0" w:space="0" w:color="auto"/>
                                                        <w:left w:val="none" w:sz="0" w:space="0" w:color="auto"/>
                                                        <w:bottom w:val="none" w:sz="0" w:space="0" w:color="auto"/>
                                                        <w:right w:val="none" w:sz="0" w:space="0" w:color="auto"/>
                                                      </w:divBdr>
                                                      <w:divsChild>
                                                        <w:div w:id="59405832">
                                                          <w:marLeft w:val="-225"/>
                                                          <w:marRight w:val="-225"/>
                                                          <w:marTop w:val="0"/>
                                                          <w:marBottom w:val="0"/>
                                                          <w:divBdr>
                                                            <w:top w:val="none" w:sz="0" w:space="0" w:color="auto"/>
                                                            <w:left w:val="none" w:sz="0" w:space="0" w:color="auto"/>
                                                            <w:bottom w:val="none" w:sz="0" w:space="0" w:color="auto"/>
                                                            <w:right w:val="none" w:sz="0" w:space="0" w:color="auto"/>
                                                          </w:divBdr>
                                                          <w:divsChild>
                                                            <w:div w:id="35204366">
                                                              <w:marLeft w:val="0"/>
                                                              <w:marRight w:val="0"/>
                                                              <w:marTop w:val="0"/>
                                                              <w:marBottom w:val="0"/>
                                                              <w:divBdr>
                                                                <w:top w:val="none" w:sz="0" w:space="0" w:color="auto"/>
                                                                <w:left w:val="none" w:sz="0" w:space="0" w:color="auto"/>
                                                                <w:bottom w:val="none" w:sz="0" w:space="0" w:color="auto"/>
                                                                <w:right w:val="none" w:sz="0" w:space="0" w:color="auto"/>
                                                              </w:divBdr>
                                                              <w:divsChild>
                                                                <w:div w:id="1780484781">
                                                                  <w:marLeft w:val="0"/>
                                                                  <w:marRight w:val="0"/>
                                                                  <w:marTop w:val="0"/>
                                                                  <w:marBottom w:val="0"/>
                                                                  <w:divBdr>
                                                                    <w:top w:val="none" w:sz="0" w:space="0" w:color="auto"/>
                                                                    <w:left w:val="none" w:sz="0" w:space="0" w:color="auto"/>
                                                                    <w:bottom w:val="none" w:sz="0" w:space="0" w:color="auto"/>
                                                                    <w:right w:val="none" w:sz="0" w:space="0" w:color="auto"/>
                                                                  </w:divBdr>
                                                                </w:div>
                                                                <w:div w:id="325472839">
                                                                  <w:marLeft w:val="0"/>
                                                                  <w:marRight w:val="0"/>
                                                                  <w:marTop w:val="0"/>
                                                                  <w:marBottom w:val="0"/>
                                                                  <w:divBdr>
                                                                    <w:top w:val="none" w:sz="0" w:space="0" w:color="auto"/>
                                                                    <w:left w:val="none" w:sz="0" w:space="0" w:color="auto"/>
                                                                    <w:bottom w:val="none" w:sz="0" w:space="0" w:color="auto"/>
                                                                    <w:right w:val="none" w:sz="0" w:space="0" w:color="auto"/>
                                                                  </w:divBdr>
                                                                </w:div>
                                                                <w:div w:id="2439123">
                                                                  <w:marLeft w:val="0"/>
                                                                  <w:marRight w:val="0"/>
                                                                  <w:marTop w:val="0"/>
                                                                  <w:marBottom w:val="0"/>
                                                                  <w:divBdr>
                                                                    <w:top w:val="none" w:sz="0" w:space="0" w:color="auto"/>
                                                                    <w:left w:val="none" w:sz="0" w:space="0" w:color="auto"/>
                                                                    <w:bottom w:val="none" w:sz="0" w:space="0" w:color="auto"/>
                                                                    <w:right w:val="none" w:sz="0" w:space="0" w:color="auto"/>
                                                                  </w:divBdr>
                                                                </w:div>
                                                                <w:div w:id="964390885">
                                                                  <w:marLeft w:val="0"/>
                                                                  <w:marRight w:val="0"/>
                                                                  <w:marTop w:val="0"/>
                                                                  <w:marBottom w:val="0"/>
                                                                  <w:divBdr>
                                                                    <w:top w:val="none" w:sz="0" w:space="0" w:color="auto"/>
                                                                    <w:left w:val="none" w:sz="0" w:space="0" w:color="auto"/>
                                                                    <w:bottom w:val="none" w:sz="0" w:space="0" w:color="auto"/>
                                                                    <w:right w:val="none" w:sz="0" w:space="0" w:color="auto"/>
                                                                  </w:divBdr>
                                                                </w:div>
                                                                <w:div w:id="1585456748">
                                                                  <w:marLeft w:val="0"/>
                                                                  <w:marRight w:val="0"/>
                                                                  <w:marTop w:val="0"/>
                                                                  <w:marBottom w:val="0"/>
                                                                  <w:divBdr>
                                                                    <w:top w:val="none" w:sz="0" w:space="0" w:color="auto"/>
                                                                    <w:left w:val="none" w:sz="0" w:space="0" w:color="auto"/>
                                                                    <w:bottom w:val="none" w:sz="0" w:space="0" w:color="auto"/>
                                                                    <w:right w:val="none" w:sz="0" w:space="0" w:color="auto"/>
                                                                  </w:divBdr>
                                                                </w:div>
                                                                <w:div w:id="233663539">
                                                                  <w:marLeft w:val="0"/>
                                                                  <w:marRight w:val="0"/>
                                                                  <w:marTop w:val="0"/>
                                                                  <w:marBottom w:val="0"/>
                                                                  <w:divBdr>
                                                                    <w:top w:val="none" w:sz="0" w:space="0" w:color="auto"/>
                                                                    <w:left w:val="none" w:sz="0" w:space="0" w:color="auto"/>
                                                                    <w:bottom w:val="none" w:sz="0" w:space="0" w:color="auto"/>
                                                                    <w:right w:val="none" w:sz="0" w:space="0" w:color="auto"/>
                                                                  </w:divBdr>
                                                                </w:div>
                                                                <w:div w:id="38667878">
                                                                  <w:marLeft w:val="0"/>
                                                                  <w:marRight w:val="0"/>
                                                                  <w:marTop w:val="0"/>
                                                                  <w:marBottom w:val="0"/>
                                                                  <w:divBdr>
                                                                    <w:top w:val="none" w:sz="0" w:space="0" w:color="auto"/>
                                                                    <w:left w:val="none" w:sz="0" w:space="0" w:color="auto"/>
                                                                    <w:bottom w:val="none" w:sz="0" w:space="0" w:color="auto"/>
                                                                    <w:right w:val="none" w:sz="0" w:space="0" w:color="auto"/>
                                                                  </w:divBdr>
                                                                </w:div>
                                                                <w:div w:id="1986817615">
                                                                  <w:marLeft w:val="0"/>
                                                                  <w:marRight w:val="0"/>
                                                                  <w:marTop w:val="0"/>
                                                                  <w:marBottom w:val="0"/>
                                                                  <w:divBdr>
                                                                    <w:top w:val="none" w:sz="0" w:space="0" w:color="auto"/>
                                                                    <w:left w:val="none" w:sz="0" w:space="0" w:color="auto"/>
                                                                    <w:bottom w:val="none" w:sz="0" w:space="0" w:color="auto"/>
                                                                    <w:right w:val="none" w:sz="0" w:space="0" w:color="auto"/>
                                                                  </w:divBdr>
                                                                </w:div>
                                                                <w:div w:id="1937590065">
                                                                  <w:marLeft w:val="0"/>
                                                                  <w:marRight w:val="0"/>
                                                                  <w:marTop w:val="0"/>
                                                                  <w:marBottom w:val="0"/>
                                                                  <w:divBdr>
                                                                    <w:top w:val="none" w:sz="0" w:space="0" w:color="auto"/>
                                                                    <w:left w:val="none" w:sz="0" w:space="0" w:color="auto"/>
                                                                    <w:bottom w:val="none" w:sz="0" w:space="0" w:color="auto"/>
                                                                    <w:right w:val="none" w:sz="0" w:space="0" w:color="auto"/>
                                                                  </w:divBdr>
                                                                </w:div>
                                                                <w:div w:id="1275596068">
                                                                  <w:marLeft w:val="0"/>
                                                                  <w:marRight w:val="0"/>
                                                                  <w:marTop w:val="0"/>
                                                                  <w:marBottom w:val="0"/>
                                                                  <w:divBdr>
                                                                    <w:top w:val="none" w:sz="0" w:space="0" w:color="auto"/>
                                                                    <w:left w:val="none" w:sz="0" w:space="0" w:color="auto"/>
                                                                    <w:bottom w:val="none" w:sz="0" w:space="0" w:color="auto"/>
                                                                    <w:right w:val="none" w:sz="0" w:space="0" w:color="auto"/>
                                                                  </w:divBdr>
                                                                </w:div>
                                                                <w:div w:id="904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82520">
      <w:bodyDiv w:val="1"/>
      <w:marLeft w:val="0"/>
      <w:marRight w:val="0"/>
      <w:marTop w:val="0"/>
      <w:marBottom w:val="0"/>
      <w:divBdr>
        <w:top w:val="none" w:sz="0" w:space="0" w:color="auto"/>
        <w:left w:val="none" w:sz="0" w:space="0" w:color="auto"/>
        <w:bottom w:val="none" w:sz="0" w:space="0" w:color="auto"/>
        <w:right w:val="none" w:sz="0" w:space="0" w:color="auto"/>
      </w:divBdr>
    </w:div>
    <w:div w:id="1969435103">
      <w:bodyDiv w:val="1"/>
      <w:marLeft w:val="0"/>
      <w:marRight w:val="0"/>
      <w:marTop w:val="0"/>
      <w:marBottom w:val="0"/>
      <w:divBdr>
        <w:top w:val="none" w:sz="0" w:space="0" w:color="auto"/>
        <w:left w:val="none" w:sz="0" w:space="0" w:color="auto"/>
        <w:bottom w:val="none" w:sz="0" w:space="0" w:color="auto"/>
        <w:right w:val="none" w:sz="0" w:space="0" w:color="auto"/>
      </w:divBdr>
    </w:div>
    <w:div w:id="20658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4a504f57-00cf-437b-a6dd-3c90458fda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rey.ca/share/public?nodeRef=workspace://SpacesStore/44af0c19-bc43-4bf3-9688-2337fd571864"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rey.ca/share/proxy/alfresco/api/node/workspace/SpacesStore/4efcbf9b-2e1a-42c1-b4d5-56b3df9f223e/content/thumbnails/pdf?c=force&amp;lastModified=pdf%3A1483935679390&amp;a=tru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GC_111569939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[2019-09-12 Committee of the Whole [7210]]</meetingId>
    <capitalProjectPriority xmlns="e6cd7bd4-3f3e-4495-b8c9-139289cd76e6" xsi:nil="true"/>
    <policyApprovalDate xmlns="e6cd7bd4-3f3e-4495-b8c9-139289cd76e6" xsi:nil="true"/>
    <NodeRef xmlns="e6cd7bd4-3f3e-4495-b8c9-139289cd76e6">183e33a2-438c-42d8-9080-5ced29be2f32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15B84F3-9064-4D4D-B2B6-02875E410D8A}">
  <ds:schemaRefs>
    <ds:schemaRef ds:uri="http://schemas.openxmlformats.org/officeDocument/2006/bibliography"/>
  </ds:schemaRefs>
</ds:datastoreItem>
</file>

<file path=customXml/itemProps2.xml><?xml version="1.0" encoding="utf-8"?>
<ds:datastoreItem xmlns:ds="http://schemas.openxmlformats.org/officeDocument/2006/customXml" ds:itemID="{7B738417-E37E-42F1-B06D-45EBEE9F76C4}"/>
</file>

<file path=customXml/itemProps3.xml><?xml version="1.0" encoding="utf-8"?>
<ds:datastoreItem xmlns:ds="http://schemas.openxmlformats.org/officeDocument/2006/customXml" ds:itemID="{1327F484-CD48-4AA2-9826-BBFE8B5425DA}"/>
</file>

<file path=customXml/itemProps4.xml><?xml version="1.0" encoding="utf-8"?>
<ds:datastoreItem xmlns:ds="http://schemas.openxmlformats.org/officeDocument/2006/customXml" ds:itemID="{B77C2A24-9EA9-47ED-80A9-5BA3D94FEDE6}"/>
</file>

<file path=customXml/itemProps5.xml><?xml version="1.0" encoding="utf-8"?>
<ds:datastoreItem xmlns:ds="http://schemas.openxmlformats.org/officeDocument/2006/customXml" ds:itemID="{C062CA3B-CED2-4798-9F3B-7DEF6DC0BADC}"/>
</file>

<file path=docProps/app.xml><?xml version="1.0" encoding="utf-8"?>
<Properties xmlns="http://schemas.openxmlformats.org/officeDocument/2006/extended-properties" xmlns:vt="http://schemas.openxmlformats.org/officeDocument/2006/docPropsVTypes">
  <Template>Normal</Template>
  <TotalTime>31</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2019-02-28T14:40:00Z</cp:lastPrinted>
  <dcterms:created xsi:type="dcterms:W3CDTF">2019-08-28T02:53:00Z</dcterms:created>
  <dcterms:modified xsi:type="dcterms:W3CDTF">2019-09-27T16:29:00Z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