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5D58" w14:textId="77777777" w:rsidR="00EF2B1E" w:rsidRPr="00EF2B1E" w:rsidRDefault="00EF2B1E" w:rsidP="00EF2B1E">
      <w:pPr>
        <w:pStyle w:val="Title"/>
        <w:jc w:val="both"/>
        <w:rPr>
          <w:rStyle w:val="IntenseEmphasis"/>
          <w:b w:val="0"/>
        </w:rPr>
      </w:pPr>
      <w:r w:rsidRPr="00EF2B1E">
        <w:rPr>
          <w:noProof/>
          <w:lang w:val="en-CA" w:eastAsia="en-CA"/>
        </w:rPr>
        <w:drawing>
          <wp:inline distT="0" distB="0" distL="0" distR="0" wp14:anchorId="2FAF3DF8" wp14:editId="70E92C1B">
            <wp:extent cx="1971675" cy="723900"/>
            <wp:effectExtent l="0" t="0" r="9525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tenseEmphasis"/>
          <w:b w:val="0"/>
        </w:rPr>
        <w:tab/>
      </w:r>
      <w:r w:rsidRPr="00EF2B1E">
        <w:rPr>
          <w:rStyle w:val="IntenseEmphasis"/>
          <w:b w:val="0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98"/>
        <w:gridCol w:w="6678"/>
      </w:tblGrid>
      <w:tr w:rsidR="00EF2B1E" w14:paraId="31E709B4" w14:textId="77777777" w:rsidTr="009F7C7E">
        <w:trPr>
          <w:tblHeader/>
        </w:trPr>
        <w:tc>
          <w:tcPr>
            <w:tcW w:w="2898" w:type="dxa"/>
          </w:tcPr>
          <w:p w14:paraId="3590BEBA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To:</w:t>
            </w:r>
          </w:p>
        </w:tc>
        <w:tc>
          <w:tcPr>
            <w:tcW w:w="6678" w:type="dxa"/>
          </w:tcPr>
          <w:p w14:paraId="0CF1C389" w14:textId="587689F4" w:rsidR="00EF2B1E" w:rsidRDefault="00EF2B1E" w:rsidP="00BD3B29">
            <w:pPr>
              <w:spacing w:before="60" w:after="60"/>
              <w:rPr>
                <w:rStyle w:val="IntenseEmphasis"/>
                <w:b w:val="0"/>
              </w:rPr>
            </w:pPr>
            <w:r w:rsidRPr="00EF2B1E">
              <w:rPr>
                <w:rStyle w:val="IntenseEmphasis"/>
                <w:b w:val="0"/>
              </w:rPr>
              <w:t xml:space="preserve">Warden </w:t>
            </w:r>
            <w:r w:rsidR="0078361E">
              <w:rPr>
                <w:rStyle w:val="IntenseEmphasis"/>
                <w:b w:val="0"/>
              </w:rPr>
              <w:t>McQueen</w:t>
            </w:r>
            <w:r w:rsidR="00BD3B29">
              <w:rPr>
                <w:rStyle w:val="IntenseEmphasis"/>
                <w:b w:val="0"/>
              </w:rPr>
              <w:t xml:space="preserve"> </w:t>
            </w:r>
            <w:r w:rsidRPr="00EF2B1E">
              <w:rPr>
                <w:rStyle w:val="IntenseEmphasis"/>
                <w:b w:val="0"/>
              </w:rPr>
              <w:t>and Members of Grey County Council</w:t>
            </w:r>
          </w:p>
        </w:tc>
      </w:tr>
      <w:tr w:rsidR="00EF2B1E" w14:paraId="5BE317B7" w14:textId="77777777" w:rsidTr="00EF2B1E">
        <w:tc>
          <w:tcPr>
            <w:tcW w:w="2898" w:type="dxa"/>
          </w:tcPr>
          <w:p w14:paraId="076C1B4E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Committee Date:</w:t>
            </w:r>
          </w:p>
        </w:tc>
        <w:tc>
          <w:tcPr>
            <w:tcW w:w="6678" w:type="dxa"/>
          </w:tcPr>
          <w:p w14:paraId="59603BCD" w14:textId="7D2D0A21" w:rsidR="00EF2B1E" w:rsidRPr="00EF2B1E" w:rsidRDefault="007A6F0F" w:rsidP="00840076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October 2</w:t>
            </w:r>
            <w:r w:rsidRPr="007A6F0F">
              <w:rPr>
                <w:rStyle w:val="IntenseEmphasis"/>
                <w:b w:val="0"/>
                <w:bCs w:val="0"/>
              </w:rPr>
              <w:t>2,</w:t>
            </w:r>
            <w:r>
              <w:rPr>
                <w:rStyle w:val="IntenseEmphasis"/>
                <w:b w:val="0"/>
              </w:rPr>
              <w:t xml:space="preserve"> 2020</w:t>
            </w:r>
          </w:p>
        </w:tc>
      </w:tr>
      <w:tr w:rsidR="00EF2B1E" w14:paraId="29B46ECB" w14:textId="77777777" w:rsidTr="00EF2B1E">
        <w:tc>
          <w:tcPr>
            <w:tcW w:w="2898" w:type="dxa"/>
          </w:tcPr>
          <w:p w14:paraId="3211A511" w14:textId="77777777" w:rsidR="00EF2B1E" w:rsidRPr="009F7C7E" w:rsidRDefault="00EF2B1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Subject / Report No:</w:t>
            </w:r>
          </w:p>
        </w:tc>
        <w:tc>
          <w:tcPr>
            <w:tcW w:w="6678" w:type="dxa"/>
          </w:tcPr>
          <w:p w14:paraId="69F651FE" w14:textId="17F43778" w:rsidR="00EF2B1E" w:rsidRPr="00EF2B1E" w:rsidRDefault="00BD3B29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TR-CW-</w:t>
            </w:r>
            <w:r w:rsidR="007A6F0F">
              <w:rPr>
                <w:rStyle w:val="IntenseEmphasis"/>
                <w:b w:val="0"/>
              </w:rPr>
              <w:t>22-20</w:t>
            </w:r>
          </w:p>
        </w:tc>
      </w:tr>
      <w:tr w:rsidR="00EF2B1E" w14:paraId="45DB973E" w14:textId="77777777" w:rsidTr="00EF2B1E">
        <w:tc>
          <w:tcPr>
            <w:tcW w:w="2898" w:type="dxa"/>
          </w:tcPr>
          <w:p w14:paraId="0A0B1C58" w14:textId="77777777" w:rsidR="00EF2B1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Title:</w:t>
            </w:r>
          </w:p>
        </w:tc>
        <w:tc>
          <w:tcPr>
            <w:tcW w:w="6678" w:type="dxa"/>
          </w:tcPr>
          <w:p w14:paraId="674B1117" w14:textId="36EBB7D4" w:rsidR="00EF2B1E" w:rsidRPr="00EF2B1E" w:rsidRDefault="00BD3B29" w:rsidP="009F7C7E">
            <w:pPr>
              <w:spacing w:before="60" w:after="60"/>
              <w:rPr>
                <w:rStyle w:val="IntenseEmphasis"/>
                <w:b w:val="0"/>
              </w:rPr>
            </w:pPr>
            <w:r w:rsidRPr="00BD3B29">
              <w:rPr>
                <w:rStyle w:val="IntenseEmphasis"/>
                <w:b w:val="0"/>
              </w:rPr>
              <w:t xml:space="preserve">Capital </w:t>
            </w:r>
            <w:r w:rsidR="00FB0464">
              <w:rPr>
                <w:rStyle w:val="IntenseEmphasis"/>
                <w:b w:val="0"/>
              </w:rPr>
              <w:t xml:space="preserve">Equipment </w:t>
            </w:r>
            <w:r w:rsidRPr="00BD3B29">
              <w:rPr>
                <w:rStyle w:val="IntenseEmphasis"/>
                <w:b w:val="0"/>
              </w:rPr>
              <w:t>Purchase Prior to Budget Approval</w:t>
            </w:r>
          </w:p>
        </w:tc>
      </w:tr>
      <w:tr w:rsidR="009F7C7E" w14:paraId="10E54AE4" w14:textId="77777777" w:rsidTr="00EF2B1E">
        <w:tc>
          <w:tcPr>
            <w:tcW w:w="2898" w:type="dxa"/>
          </w:tcPr>
          <w:p w14:paraId="1445F0FB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Prepared by:</w:t>
            </w:r>
          </w:p>
        </w:tc>
        <w:tc>
          <w:tcPr>
            <w:tcW w:w="6678" w:type="dxa"/>
          </w:tcPr>
          <w:p w14:paraId="5A3A7D49" w14:textId="1DB60A82" w:rsidR="009F7C7E" w:rsidRPr="00EF2B1E" w:rsidRDefault="007A6F0F" w:rsidP="007A6F0F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Steve</w:t>
            </w:r>
            <w:r w:rsidR="001B7C60">
              <w:rPr>
                <w:rStyle w:val="IntenseEmphasis"/>
                <w:b w:val="0"/>
              </w:rPr>
              <w:t>n</w:t>
            </w:r>
            <w:r>
              <w:rPr>
                <w:rStyle w:val="IntenseEmphasis"/>
                <w:b w:val="0"/>
              </w:rPr>
              <w:t xml:space="preserve"> Dollmaier, Maintenance Manager</w:t>
            </w:r>
            <w:r>
              <w:rPr>
                <w:rStyle w:val="IntenseEmphasis"/>
                <w:b w:val="0"/>
              </w:rPr>
              <w:br/>
            </w:r>
            <w:r w:rsidR="00BD3B29">
              <w:rPr>
                <w:rStyle w:val="IntenseEmphasis"/>
                <w:b w:val="0"/>
              </w:rPr>
              <w:t>Sharon Melville, Buyer</w:t>
            </w:r>
          </w:p>
        </w:tc>
      </w:tr>
      <w:tr w:rsidR="009F7C7E" w14:paraId="6B357C10" w14:textId="77777777" w:rsidTr="00EF2B1E">
        <w:tc>
          <w:tcPr>
            <w:tcW w:w="2898" w:type="dxa"/>
          </w:tcPr>
          <w:p w14:paraId="4776B97C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Reviewed by:</w:t>
            </w:r>
          </w:p>
        </w:tc>
        <w:tc>
          <w:tcPr>
            <w:tcW w:w="6678" w:type="dxa"/>
          </w:tcPr>
          <w:p w14:paraId="30B6ADC7" w14:textId="3F004E3E" w:rsidR="009F7C7E" w:rsidRPr="00EF2B1E" w:rsidRDefault="007A6F0F" w:rsidP="009F7C7E">
            <w:pPr>
              <w:spacing w:before="60" w:after="60"/>
              <w:rPr>
                <w:rStyle w:val="IntenseEmphasis"/>
                <w:b w:val="0"/>
              </w:rPr>
            </w:pPr>
            <w:r>
              <w:rPr>
                <w:rStyle w:val="IntenseEmphasis"/>
                <w:b w:val="0"/>
              </w:rPr>
              <w:t>Pat Hoy, Director of Transportation Services</w:t>
            </w:r>
          </w:p>
        </w:tc>
      </w:tr>
      <w:tr w:rsidR="009F7C7E" w14:paraId="02325CAE" w14:textId="77777777" w:rsidTr="00EF2B1E">
        <w:tc>
          <w:tcPr>
            <w:tcW w:w="2898" w:type="dxa"/>
          </w:tcPr>
          <w:p w14:paraId="7DE56AAB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Lower Tier(s) Affected:</w:t>
            </w:r>
          </w:p>
        </w:tc>
        <w:tc>
          <w:tcPr>
            <w:tcW w:w="6678" w:type="dxa"/>
          </w:tcPr>
          <w:p w14:paraId="653A21DF" w14:textId="77777777" w:rsidR="009F7C7E" w:rsidRPr="00EF2B1E" w:rsidRDefault="009F7C7E" w:rsidP="009F7C7E">
            <w:pPr>
              <w:spacing w:before="60" w:after="60"/>
              <w:rPr>
                <w:rStyle w:val="IntenseEmphasis"/>
                <w:b w:val="0"/>
              </w:rPr>
            </w:pPr>
          </w:p>
        </w:tc>
      </w:tr>
      <w:tr w:rsidR="009F7C7E" w14:paraId="40011474" w14:textId="77777777" w:rsidTr="00EF2B1E">
        <w:tc>
          <w:tcPr>
            <w:tcW w:w="2898" w:type="dxa"/>
          </w:tcPr>
          <w:p w14:paraId="611A2B91" w14:textId="77777777" w:rsidR="009F7C7E" w:rsidRPr="009F7C7E" w:rsidRDefault="009F7C7E" w:rsidP="009F7C7E">
            <w:pPr>
              <w:spacing w:before="60" w:after="60"/>
              <w:rPr>
                <w:rStyle w:val="IntenseEmphasis"/>
              </w:rPr>
            </w:pPr>
            <w:r w:rsidRPr="009F7C7E">
              <w:rPr>
                <w:rStyle w:val="IntenseEmphasis"/>
              </w:rPr>
              <w:t>Status:</w:t>
            </w:r>
          </w:p>
        </w:tc>
        <w:tc>
          <w:tcPr>
            <w:tcW w:w="6678" w:type="dxa"/>
          </w:tcPr>
          <w:p w14:paraId="440647E6" w14:textId="224FB9B6" w:rsidR="009F7C7E" w:rsidRPr="00703EF4" w:rsidRDefault="00703EF4" w:rsidP="0051689F">
            <w:pPr>
              <w:spacing w:before="60" w:after="60"/>
              <w:rPr>
                <w:rStyle w:val="IntenseEmphasis"/>
                <w:b w:val="0"/>
              </w:rPr>
            </w:pPr>
            <w:r w:rsidRPr="00703EF4">
              <w:rPr>
                <w:rStyle w:val="IntenseEmphasis"/>
                <w:b w:val="0"/>
              </w:rPr>
              <w:t xml:space="preserve">Recommendation adopted by Committee as presented per Resolution CW181-20; </w:t>
            </w:r>
            <w:r w:rsidR="00EA08B0">
              <w:t>Endorsed by County Council November 12, 2020 per Resolution CC87-20;</w:t>
            </w:r>
            <w:bookmarkStart w:id="0" w:name="_GoBack"/>
            <w:bookmarkEnd w:id="0"/>
          </w:p>
        </w:tc>
      </w:tr>
    </w:tbl>
    <w:p w14:paraId="047A6E13" w14:textId="77777777" w:rsidR="00EF2B1E" w:rsidRPr="00EF2B1E" w:rsidRDefault="0042271B" w:rsidP="009F7C7E">
      <w:pPr>
        <w:pStyle w:val="Heading2"/>
        <w:rPr>
          <w:rStyle w:val="IntenseEmphasis"/>
          <w:b w:val="0"/>
        </w:rPr>
      </w:pPr>
      <w:r>
        <w:rPr>
          <w:rStyle w:val="IntenseEmphasis"/>
          <w:b w:val="0"/>
        </w:rPr>
        <w:t>Recommendation</w:t>
      </w:r>
    </w:p>
    <w:p w14:paraId="4500D2F2" w14:textId="22562786" w:rsidR="001A011E" w:rsidRDefault="0042271B" w:rsidP="0042271B">
      <w:pPr>
        <w:pStyle w:val="ListParagraph"/>
        <w:numPr>
          <w:ilvl w:val="0"/>
          <w:numId w:val="2"/>
        </w:numPr>
        <w:spacing w:after="120"/>
        <w:contextualSpacing w:val="0"/>
        <w:rPr>
          <w:rStyle w:val="IntenseEmphasis"/>
        </w:rPr>
      </w:pPr>
      <w:r>
        <w:rPr>
          <w:rStyle w:val="IntenseEmphasis"/>
        </w:rPr>
        <w:t>That Report TR-CW-</w:t>
      </w:r>
      <w:r w:rsidR="007A6F0F">
        <w:rPr>
          <w:rStyle w:val="IntenseEmphasis"/>
        </w:rPr>
        <w:t>22-20</w:t>
      </w:r>
      <w:r w:rsidR="00CF33A1">
        <w:rPr>
          <w:rStyle w:val="IntenseEmphasis"/>
        </w:rPr>
        <w:t xml:space="preserve"> regarding Capital Equipment Purchase prior to 2021 Budget Approval</w:t>
      </w:r>
      <w:r w:rsidR="001A011E">
        <w:rPr>
          <w:rStyle w:val="IntenseEmphasis"/>
        </w:rPr>
        <w:t xml:space="preserve"> be received; and</w:t>
      </w:r>
    </w:p>
    <w:p w14:paraId="3A077C15" w14:textId="6102FD61" w:rsidR="00EF2B1E" w:rsidRDefault="001A011E" w:rsidP="0042271B">
      <w:pPr>
        <w:pStyle w:val="ListParagraph"/>
        <w:numPr>
          <w:ilvl w:val="0"/>
          <w:numId w:val="2"/>
        </w:numPr>
        <w:spacing w:after="120"/>
        <w:contextualSpacing w:val="0"/>
        <w:rPr>
          <w:rStyle w:val="IntenseEmphasis"/>
        </w:rPr>
      </w:pPr>
      <w:r>
        <w:rPr>
          <w:rStyle w:val="IntenseEmphasis"/>
        </w:rPr>
        <w:t>That</w:t>
      </w:r>
      <w:r w:rsidR="00E223A2">
        <w:rPr>
          <w:rStyle w:val="IntenseEmphasis"/>
        </w:rPr>
        <w:t xml:space="preserve"> staff be authorized to </w:t>
      </w:r>
      <w:r w:rsidR="00DD3FCD">
        <w:rPr>
          <w:rStyle w:val="IntenseEmphasis"/>
        </w:rPr>
        <w:t>issue</w:t>
      </w:r>
      <w:r w:rsidR="0042271B" w:rsidRPr="0042271B">
        <w:rPr>
          <w:rStyle w:val="IntenseEmphasis"/>
        </w:rPr>
        <w:t xml:space="preserve"> the tender for </w:t>
      </w:r>
      <w:r w:rsidR="000429D1">
        <w:rPr>
          <w:rStyle w:val="IntenseEmphasis"/>
        </w:rPr>
        <w:t>two</w:t>
      </w:r>
      <w:r w:rsidR="0042271B" w:rsidRPr="0042271B">
        <w:rPr>
          <w:rStyle w:val="IntenseEmphasis"/>
        </w:rPr>
        <w:t xml:space="preserve"> tandem trucks</w:t>
      </w:r>
      <w:r w:rsidR="000429D1">
        <w:rPr>
          <w:rStyle w:val="IntenseEmphasis"/>
        </w:rPr>
        <w:t xml:space="preserve"> </w:t>
      </w:r>
      <w:r w:rsidR="0042271B" w:rsidRPr="0042271B">
        <w:rPr>
          <w:rStyle w:val="IntenseEmphasis"/>
        </w:rPr>
        <w:t xml:space="preserve">prior to </w:t>
      </w:r>
      <w:r w:rsidR="00FB0464">
        <w:rPr>
          <w:rStyle w:val="IntenseEmphasis"/>
        </w:rPr>
        <w:t>202</w:t>
      </w:r>
      <w:r w:rsidR="007A6F0F">
        <w:rPr>
          <w:rStyle w:val="IntenseEmphasis"/>
        </w:rPr>
        <w:t>1</w:t>
      </w:r>
      <w:r w:rsidR="0042271B" w:rsidRPr="0042271B">
        <w:rPr>
          <w:rStyle w:val="IntenseEmphasis"/>
        </w:rPr>
        <w:t xml:space="preserve"> budget approval due to delivery time constraints </w:t>
      </w:r>
      <w:r>
        <w:rPr>
          <w:rStyle w:val="IntenseEmphasis"/>
        </w:rPr>
        <w:t>in accordance with Section 3.3 (c) of the Purchasing P</w:t>
      </w:r>
      <w:r w:rsidR="009240D5">
        <w:rPr>
          <w:rStyle w:val="IntenseEmphasis"/>
        </w:rPr>
        <w:t>olicy</w:t>
      </w:r>
      <w:r w:rsidR="0042271B" w:rsidRPr="0042271B">
        <w:rPr>
          <w:rStyle w:val="IntenseEmphasis"/>
        </w:rPr>
        <w:t>.</w:t>
      </w:r>
    </w:p>
    <w:p w14:paraId="4C2FF30A" w14:textId="2CD65EC6" w:rsidR="00EF2B1E" w:rsidRPr="00EF2B1E" w:rsidRDefault="005378AE" w:rsidP="009F7C7E">
      <w:pPr>
        <w:pStyle w:val="Heading2"/>
        <w:rPr>
          <w:rStyle w:val="IntenseEmphasis"/>
          <w:b w:val="0"/>
        </w:rPr>
      </w:pPr>
      <w:r>
        <w:rPr>
          <w:rStyle w:val="IntenseEmphasis"/>
          <w:b w:val="0"/>
        </w:rPr>
        <w:t>Executive Summary</w:t>
      </w:r>
    </w:p>
    <w:p w14:paraId="668BB66C" w14:textId="6E468A7C" w:rsidR="00EF2B1E" w:rsidRPr="00EF2B1E" w:rsidRDefault="0042271B" w:rsidP="00EF2B1E">
      <w:pPr>
        <w:rPr>
          <w:rStyle w:val="IntenseEmphasis"/>
          <w:b w:val="0"/>
        </w:rPr>
      </w:pPr>
      <w:r>
        <w:rPr>
          <w:rFonts w:cs="Arial"/>
        </w:rPr>
        <w:t xml:space="preserve">Transportation Services </w:t>
      </w:r>
      <w:r w:rsidR="00026CFC">
        <w:rPr>
          <w:rFonts w:cs="Arial"/>
        </w:rPr>
        <w:t>s</w:t>
      </w:r>
      <w:r w:rsidRPr="00770B51">
        <w:rPr>
          <w:rFonts w:cs="Arial"/>
        </w:rPr>
        <w:t xml:space="preserve">taff is </w:t>
      </w:r>
      <w:r>
        <w:rPr>
          <w:rFonts w:cs="Arial"/>
        </w:rPr>
        <w:t>request</w:t>
      </w:r>
      <w:r w:rsidRPr="00770B51">
        <w:rPr>
          <w:rFonts w:cs="Arial"/>
        </w:rPr>
        <w:t xml:space="preserve">ing </w:t>
      </w:r>
      <w:r>
        <w:rPr>
          <w:rFonts w:cs="Arial"/>
        </w:rPr>
        <w:t xml:space="preserve">permission </w:t>
      </w:r>
      <w:r w:rsidRPr="00770B51">
        <w:rPr>
          <w:rFonts w:cs="Arial"/>
        </w:rPr>
        <w:t>to tender for</w:t>
      </w:r>
      <w:r w:rsidR="000429D1">
        <w:rPr>
          <w:rFonts w:cs="Arial"/>
        </w:rPr>
        <w:t xml:space="preserve"> two</w:t>
      </w:r>
      <w:r w:rsidRPr="00770B51">
        <w:rPr>
          <w:rFonts w:cs="Arial"/>
        </w:rPr>
        <w:t xml:space="preserve"> tandem trucks pr</w:t>
      </w:r>
      <w:r>
        <w:rPr>
          <w:rFonts w:cs="Arial"/>
        </w:rPr>
        <w:t xml:space="preserve">ior to </w:t>
      </w:r>
      <w:r w:rsidR="00FB0464">
        <w:rPr>
          <w:rFonts w:cs="Arial"/>
        </w:rPr>
        <w:t>202</w:t>
      </w:r>
      <w:r w:rsidR="007A6F0F">
        <w:rPr>
          <w:rFonts w:cs="Arial"/>
        </w:rPr>
        <w:t>1</w:t>
      </w:r>
      <w:r>
        <w:rPr>
          <w:rFonts w:cs="Arial"/>
        </w:rPr>
        <w:t xml:space="preserve"> b</w:t>
      </w:r>
      <w:r w:rsidRPr="00770B51">
        <w:rPr>
          <w:rFonts w:cs="Arial"/>
        </w:rPr>
        <w:t>udget approval.</w:t>
      </w:r>
    </w:p>
    <w:p w14:paraId="18E24DBD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Background and Discussion</w:t>
      </w:r>
    </w:p>
    <w:p w14:paraId="2B238C53" w14:textId="664AE421" w:rsidR="00EB683B" w:rsidRDefault="0042271B">
      <w:pPr>
        <w:rPr>
          <w:rFonts w:cs="Arial"/>
        </w:rPr>
      </w:pPr>
      <w:r w:rsidRPr="00770B51">
        <w:rPr>
          <w:rFonts w:cs="Arial"/>
        </w:rPr>
        <w:t xml:space="preserve">Section 10.1 </w:t>
      </w:r>
      <w:r w:rsidR="00840076">
        <w:rPr>
          <w:rFonts w:cs="Arial"/>
        </w:rPr>
        <w:t>Reporting to Council</w:t>
      </w:r>
      <w:r w:rsidRPr="00770B51">
        <w:rPr>
          <w:rFonts w:cs="Arial"/>
        </w:rPr>
        <w:t xml:space="preserve"> of the </w:t>
      </w:r>
      <w:r w:rsidR="00840076">
        <w:rPr>
          <w:rFonts w:cs="Arial"/>
        </w:rPr>
        <w:t>P</w:t>
      </w:r>
      <w:r w:rsidRPr="00770B51">
        <w:rPr>
          <w:rFonts w:cs="Arial"/>
        </w:rPr>
        <w:t xml:space="preserve">urchasing </w:t>
      </w:r>
      <w:r w:rsidR="00840076">
        <w:rPr>
          <w:rFonts w:cs="Arial"/>
        </w:rPr>
        <w:t>P</w:t>
      </w:r>
      <w:r w:rsidR="009240D5">
        <w:rPr>
          <w:rFonts w:cs="Arial"/>
        </w:rPr>
        <w:t xml:space="preserve">olicy </w:t>
      </w:r>
      <w:r w:rsidRPr="00770B51">
        <w:rPr>
          <w:rFonts w:cs="Arial"/>
        </w:rPr>
        <w:t>states that items requiring pre-budget approval must be reported to Council in order to have the expenditure authoriz</w:t>
      </w:r>
      <w:r w:rsidR="00377F53">
        <w:rPr>
          <w:rFonts w:cs="Arial"/>
        </w:rPr>
        <w:t xml:space="preserve">ed via resolution. </w:t>
      </w:r>
      <w:r w:rsidR="0081519C">
        <w:rPr>
          <w:rFonts w:cs="Arial"/>
        </w:rPr>
        <w:t xml:space="preserve"> </w:t>
      </w:r>
      <w:r w:rsidR="00377F53">
        <w:rPr>
          <w:rFonts w:cs="Arial"/>
        </w:rPr>
        <w:t>Section 3.0 Authorization</w:t>
      </w:r>
      <w:r w:rsidRPr="00770B51">
        <w:rPr>
          <w:rFonts w:cs="Arial"/>
        </w:rPr>
        <w:t xml:space="preserve"> of the </w:t>
      </w:r>
      <w:r w:rsidR="009240D5">
        <w:rPr>
          <w:rFonts w:cs="Arial"/>
        </w:rPr>
        <w:t>policy</w:t>
      </w:r>
      <w:r w:rsidRPr="00770B51">
        <w:rPr>
          <w:rFonts w:cs="Arial"/>
        </w:rPr>
        <w:t xml:space="preserve"> states that staff is authorized to procure up to </w:t>
      </w:r>
      <w:r w:rsidR="0081519C">
        <w:rPr>
          <w:rFonts w:cs="Arial"/>
        </w:rPr>
        <w:t>fifty percent</w:t>
      </w:r>
      <w:r w:rsidRPr="00770B51">
        <w:rPr>
          <w:rFonts w:cs="Arial"/>
        </w:rPr>
        <w:t xml:space="preserve"> of gross expenditures contained in the first year of </w:t>
      </w:r>
      <w:r w:rsidRPr="00C4410C">
        <w:rPr>
          <w:rFonts w:cs="Arial"/>
        </w:rPr>
        <w:t>the Ten Year</w:t>
      </w:r>
      <w:r w:rsidR="00DD3FCD">
        <w:rPr>
          <w:rFonts w:cs="Arial"/>
        </w:rPr>
        <w:t xml:space="preserve"> Capital Forecast Plan</w:t>
      </w:r>
      <w:r w:rsidRPr="00770B51">
        <w:rPr>
          <w:rFonts w:cs="Arial"/>
        </w:rPr>
        <w:t xml:space="preserve"> prior to the annual budget being approved, once Council has authorized these capital expenditures via resolution.</w:t>
      </w:r>
    </w:p>
    <w:p w14:paraId="01B20C66" w14:textId="023249DE" w:rsidR="00325D3D" w:rsidRDefault="0042271B" w:rsidP="0042271B">
      <w:pPr>
        <w:rPr>
          <w:rFonts w:cs="Arial"/>
        </w:rPr>
      </w:pPr>
      <w:r w:rsidRPr="00770B51">
        <w:rPr>
          <w:rFonts w:cs="Arial"/>
        </w:rPr>
        <w:lastRenderedPageBreak/>
        <w:t xml:space="preserve">The purpose of this early tender date is to expedite the delivery of the units to ensure that they are available for use </w:t>
      </w:r>
      <w:r w:rsidR="00A35B0F">
        <w:rPr>
          <w:rFonts w:cs="Arial"/>
        </w:rPr>
        <w:t>during the</w:t>
      </w:r>
      <w:r w:rsidRPr="00770B51">
        <w:rPr>
          <w:rFonts w:cs="Arial"/>
        </w:rPr>
        <w:t xml:space="preserve"> 20</w:t>
      </w:r>
      <w:r w:rsidR="00FB0464">
        <w:rPr>
          <w:rFonts w:cs="Arial"/>
        </w:rPr>
        <w:t>2</w:t>
      </w:r>
      <w:r w:rsidR="007A6F0F">
        <w:rPr>
          <w:rFonts w:cs="Arial"/>
        </w:rPr>
        <w:t>1</w:t>
      </w:r>
      <w:r w:rsidRPr="00770B51">
        <w:rPr>
          <w:rFonts w:cs="Arial"/>
        </w:rPr>
        <w:t>/20</w:t>
      </w:r>
      <w:r>
        <w:rPr>
          <w:rFonts w:cs="Arial"/>
        </w:rPr>
        <w:t>2</w:t>
      </w:r>
      <w:r w:rsidR="007A6F0F">
        <w:rPr>
          <w:rFonts w:cs="Arial"/>
        </w:rPr>
        <w:t>2</w:t>
      </w:r>
      <w:r w:rsidRPr="00770B51">
        <w:rPr>
          <w:rFonts w:cs="Arial"/>
        </w:rPr>
        <w:t xml:space="preserve"> winter season. </w:t>
      </w:r>
      <w:r>
        <w:rPr>
          <w:rFonts w:cs="Arial"/>
        </w:rPr>
        <w:t xml:space="preserve"> </w:t>
      </w:r>
      <w:r w:rsidR="00A35B0F" w:rsidRPr="00770B51">
        <w:rPr>
          <w:rFonts w:cs="Arial"/>
        </w:rPr>
        <w:t>History</w:t>
      </w:r>
      <w:r w:rsidRPr="00770B51">
        <w:rPr>
          <w:rFonts w:cs="Arial"/>
        </w:rPr>
        <w:t xml:space="preserve"> has shown that delivery takes </w:t>
      </w:r>
      <w:r>
        <w:rPr>
          <w:rFonts w:cs="Arial"/>
        </w:rPr>
        <w:t>seven to nine</w:t>
      </w:r>
      <w:r w:rsidRPr="00770B51">
        <w:rPr>
          <w:rFonts w:cs="Arial"/>
        </w:rPr>
        <w:t xml:space="preserve"> months from the date of purchase.</w:t>
      </w:r>
    </w:p>
    <w:p w14:paraId="375304EA" w14:textId="5E3B2F20" w:rsidR="00325D3D" w:rsidRDefault="00DD3FCD" w:rsidP="0042271B">
      <w:pPr>
        <w:rPr>
          <w:rFonts w:cs="Arial"/>
        </w:rPr>
      </w:pPr>
      <w:r w:rsidRPr="001B7C60">
        <w:rPr>
          <w:rFonts w:cs="Arial"/>
        </w:rPr>
        <w:t>Staff is recommending the replacement</w:t>
      </w:r>
      <w:r w:rsidR="0042271B" w:rsidRPr="001B7C60">
        <w:rPr>
          <w:rFonts w:cs="Arial"/>
        </w:rPr>
        <w:t xml:space="preserve"> of </w:t>
      </w:r>
      <w:r w:rsidR="00520734" w:rsidRPr="001B7C60">
        <w:rPr>
          <w:rFonts w:cs="Arial"/>
        </w:rPr>
        <w:t>two</w:t>
      </w:r>
      <w:r w:rsidR="002D265B" w:rsidRPr="001B7C60">
        <w:rPr>
          <w:rFonts w:cs="Arial"/>
        </w:rPr>
        <w:t xml:space="preserve"> </w:t>
      </w:r>
      <w:r w:rsidRPr="001B7C60">
        <w:rPr>
          <w:rFonts w:cs="Arial"/>
        </w:rPr>
        <w:t>tandem</w:t>
      </w:r>
      <w:r w:rsidR="001B7C60" w:rsidRPr="001B7C60">
        <w:rPr>
          <w:rFonts w:cs="Arial"/>
        </w:rPr>
        <w:t xml:space="preserve"> trucks</w:t>
      </w:r>
      <w:r w:rsidR="0042271B" w:rsidRPr="001B7C60">
        <w:rPr>
          <w:rFonts w:cs="Arial"/>
        </w:rPr>
        <w:t xml:space="preserve">. </w:t>
      </w:r>
      <w:r w:rsidR="00520734" w:rsidRPr="001B7C60">
        <w:rPr>
          <w:rFonts w:cs="Arial"/>
        </w:rPr>
        <w:t>The 200</w:t>
      </w:r>
      <w:r w:rsidR="00756E03">
        <w:rPr>
          <w:rFonts w:cs="Arial"/>
        </w:rPr>
        <w:t>9</w:t>
      </w:r>
      <w:r w:rsidR="00520734" w:rsidRPr="001B7C60">
        <w:rPr>
          <w:rFonts w:cs="Arial"/>
        </w:rPr>
        <w:t xml:space="preserve"> tandem trucks which are at the end of scheduled </w:t>
      </w:r>
      <w:r w:rsidR="00AB561C" w:rsidRPr="001B7C60">
        <w:rPr>
          <w:rFonts w:cs="Arial"/>
        </w:rPr>
        <w:t>12-year</w:t>
      </w:r>
      <w:r w:rsidR="00520734" w:rsidRPr="001B7C60">
        <w:rPr>
          <w:rFonts w:cs="Arial"/>
        </w:rPr>
        <w:t xml:space="preserve"> life cycle</w:t>
      </w:r>
      <w:r w:rsidR="0042271B" w:rsidRPr="001B7C60">
        <w:rPr>
          <w:rFonts w:cs="Arial"/>
        </w:rPr>
        <w:t xml:space="preserve"> will be </w:t>
      </w:r>
      <w:r w:rsidR="00A35B0F">
        <w:rPr>
          <w:rFonts w:cs="Arial"/>
        </w:rPr>
        <w:t xml:space="preserve">offered to the member municipalities for purchase and/or </w:t>
      </w:r>
      <w:r w:rsidR="0042271B" w:rsidRPr="001B7C60">
        <w:rPr>
          <w:rFonts w:cs="Arial"/>
        </w:rPr>
        <w:t>auctioned following the arrival of the</w:t>
      </w:r>
      <w:r w:rsidR="001B7C60" w:rsidRPr="001B7C60">
        <w:rPr>
          <w:rFonts w:cs="Arial"/>
        </w:rPr>
        <w:t xml:space="preserve"> two</w:t>
      </w:r>
      <w:r w:rsidR="0042271B" w:rsidRPr="001B7C60">
        <w:rPr>
          <w:rFonts w:cs="Arial"/>
        </w:rPr>
        <w:t xml:space="preserve"> new tandem</w:t>
      </w:r>
      <w:r w:rsidR="001B7C60" w:rsidRPr="001B7C60">
        <w:rPr>
          <w:rFonts w:cs="Arial"/>
        </w:rPr>
        <w:t xml:space="preserve"> trucks</w:t>
      </w:r>
      <w:r w:rsidR="00520734" w:rsidRPr="001B7C60">
        <w:rPr>
          <w:rFonts w:cs="Arial"/>
        </w:rPr>
        <w:t>.</w:t>
      </w:r>
    </w:p>
    <w:p w14:paraId="0167FBA5" w14:textId="6B14C5E1" w:rsidR="0006092A" w:rsidRDefault="0006092A" w:rsidP="0042271B">
      <w:pPr>
        <w:rPr>
          <w:rFonts w:cs="Arial"/>
        </w:rPr>
      </w:pPr>
      <w:r>
        <w:rPr>
          <w:rFonts w:cs="Arial"/>
        </w:rPr>
        <w:t>Staff are</w:t>
      </w:r>
      <w:r w:rsidR="00355A03">
        <w:rPr>
          <w:rFonts w:cs="Arial"/>
        </w:rPr>
        <w:t xml:space="preserve"> also</w:t>
      </w:r>
      <w:r>
        <w:rPr>
          <w:rFonts w:cs="Arial"/>
        </w:rPr>
        <w:t xml:space="preserve"> recommending </w:t>
      </w:r>
      <w:r w:rsidR="00355A03">
        <w:rPr>
          <w:rFonts w:cs="Arial"/>
        </w:rPr>
        <w:t>deferring</w:t>
      </w:r>
      <w:r>
        <w:rPr>
          <w:rFonts w:cs="Arial"/>
        </w:rPr>
        <w:t xml:space="preserve"> the </w:t>
      </w:r>
      <w:r w:rsidR="0078629D">
        <w:rPr>
          <w:rFonts w:cs="Arial"/>
        </w:rPr>
        <w:t>purchase</w:t>
      </w:r>
      <w:r>
        <w:rPr>
          <w:rFonts w:cs="Arial"/>
        </w:rPr>
        <w:t xml:space="preserve"> of two tandem roll-off trucks to the 2023 Capital Budget</w:t>
      </w:r>
      <w:r w:rsidR="00355A03">
        <w:rPr>
          <w:rFonts w:cs="Arial"/>
        </w:rPr>
        <w:t xml:space="preserve"> instead of purchasing them in 2021. </w:t>
      </w:r>
      <w:r w:rsidR="00EA6E34">
        <w:rPr>
          <w:rFonts w:cs="Arial"/>
        </w:rPr>
        <w:t>This will allow time to</w:t>
      </w:r>
      <w:r w:rsidR="00355A03">
        <w:rPr>
          <w:rFonts w:cs="Arial"/>
        </w:rPr>
        <w:t xml:space="preserve"> complete a full assessment and review of the two-tandem roll-off trucks received in February 2020.</w:t>
      </w:r>
    </w:p>
    <w:p w14:paraId="1D9C7EA7" w14:textId="301001FA" w:rsidR="00DE125F" w:rsidRDefault="00DE125F" w:rsidP="0042271B">
      <w:pPr>
        <w:rPr>
          <w:rFonts w:cs="Arial"/>
        </w:rPr>
      </w:pPr>
      <w:r>
        <w:rPr>
          <w:rFonts w:cs="Arial"/>
        </w:rPr>
        <w:t xml:space="preserve">The two </w:t>
      </w:r>
      <w:r w:rsidR="00355A03">
        <w:rPr>
          <w:rFonts w:cs="Arial"/>
        </w:rPr>
        <w:t>tandem</w:t>
      </w:r>
      <w:r>
        <w:rPr>
          <w:rFonts w:cs="Arial"/>
        </w:rPr>
        <w:t xml:space="preserve"> trucks will be tendered with stainless steel dump bodies.  Since purchasing</w:t>
      </w:r>
      <w:r w:rsidR="00355A03">
        <w:rPr>
          <w:rFonts w:cs="Arial"/>
        </w:rPr>
        <w:t xml:space="preserve"> tandem</w:t>
      </w:r>
      <w:r>
        <w:rPr>
          <w:rFonts w:cs="Arial"/>
        </w:rPr>
        <w:t xml:space="preserve"> trucks with these boxes in 2017</w:t>
      </w:r>
      <w:r w:rsidR="0078629D">
        <w:rPr>
          <w:rFonts w:cs="Arial"/>
        </w:rPr>
        <w:t>, stainless steel continues to be the preferred choice of box material.</w:t>
      </w:r>
    </w:p>
    <w:p w14:paraId="04F9D0B7" w14:textId="06F064EB" w:rsidR="00F327DC" w:rsidRDefault="0042271B" w:rsidP="0042271B">
      <w:pPr>
        <w:rPr>
          <w:rFonts w:cs="Arial"/>
        </w:rPr>
      </w:pPr>
      <w:r w:rsidRPr="001B7C60">
        <w:rPr>
          <w:rFonts w:cs="Arial"/>
        </w:rPr>
        <w:t>A route analysis has shown that tandem trucks are the appropriate vehicle in both material space and agility to undertake winter maintenance.</w:t>
      </w:r>
    </w:p>
    <w:p w14:paraId="7EC0F49C" w14:textId="70FCF0A6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Legal and Legislated Requirements</w:t>
      </w:r>
    </w:p>
    <w:p w14:paraId="4B74F151" w14:textId="77777777" w:rsidR="00DB2736" w:rsidRPr="00EF2B1E" w:rsidRDefault="0042271B" w:rsidP="0042271B">
      <w:pPr>
        <w:rPr>
          <w:rStyle w:val="IntenseEmphasis"/>
          <w:b w:val="0"/>
        </w:rPr>
      </w:pPr>
      <w:r>
        <w:rPr>
          <w:rStyle w:val="IntenseEmphasis"/>
          <w:b w:val="0"/>
        </w:rPr>
        <w:t>None.</w:t>
      </w:r>
    </w:p>
    <w:p w14:paraId="605A98CD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t>Financial and Resource Implications</w:t>
      </w:r>
    </w:p>
    <w:p w14:paraId="0EA4CB4A" w14:textId="19E41F19" w:rsidR="0042271B" w:rsidRPr="0042271B" w:rsidRDefault="0042271B" w:rsidP="0042271B">
      <w:pPr>
        <w:rPr>
          <w:rStyle w:val="IntenseEmphasis"/>
          <w:b w:val="0"/>
        </w:rPr>
      </w:pPr>
      <w:r w:rsidRPr="0042271B">
        <w:rPr>
          <w:rStyle w:val="IntenseEmphasis"/>
          <w:b w:val="0"/>
        </w:rPr>
        <w:t xml:space="preserve">These units have been submitted for replacement in </w:t>
      </w:r>
      <w:r>
        <w:rPr>
          <w:rStyle w:val="IntenseEmphasis"/>
          <w:b w:val="0"/>
        </w:rPr>
        <w:t xml:space="preserve">the Machinery portion </w:t>
      </w:r>
      <w:r w:rsidRPr="00C4410C">
        <w:rPr>
          <w:rStyle w:val="IntenseEmphasis"/>
          <w:b w:val="0"/>
        </w:rPr>
        <w:t xml:space="preserve">of the </w:t>
      </w:r>
      <w:r w:rsidR="004439A2" w:rsidRPr="00C4410C">
        <w:rPr>
          <w:rStyle w:val="IntenseEmphasis"/>
          <w:b w:val="0"/>
        </w:rPr>
        <w:t>Ten</w:t>
      </w:r>
      <w:r w:rsidR="004439A2" w:rsidRPr="0042271B">
        <w:rPr>
          <w:rStyle w:val="IntenseEmphasis"/>
          <w:b w:val="0"/>
        </w:rPr>
        <w:t>-Year</w:t>
      </w:r>
      <w:r w:rsidRPr="0042271B">
        <w:rPr>
          <w:rStyle w:val="IntenseEmphasis"/>
          <w:b w:val="0"/>
        </w:rPr>
        <w:t xml:space="preserve"> Capital Forecast.</w:t>
      </w:r>
    </w:p>
    <w:p w14:paraId="037E41FC" w14:textId="279647F8" w:rsidR="001B7C60" w:rsidRDefault="007E6CF1">
      <w:pPr>
        <w:rPr>
          <w:rStyle w:val="IntenseEmphasis"/>
          <w:b w:val="0"/>
        </w:rPr>
      </w:pPr>
      <w:r w:rsidRPr="006E36EA">
        <w:rPr>
          <w:rStyle w:val="IntenseEmphasis"/>
          <w:b w:val="0"/>
        </w:rPr>
        <w:t xml:space="preserve">The gross expenditures amount contained in the first year </w:t>
      </w:r>
      <w:r w:rsidR="006D1F8A">
        <w:rPr>
          <w:rStyle w:val="IntenseEmphasis"/>
          <w:b w:val="0"/>
        </w:rPr>
        <w:t>(20</w:t>
      </w:r>
      <w:r w:rsidR="00FB0464">
        <w:rPr>
          <w:rStyle w:val="IntenseEmphasis"/>
          <w:b w:val="0"/>
        </w:rPr>
        <w:t>2</w:t>
      </w:r>
      <w:r w:rsidR="007A6F0F">
        <w:rPr>
          <w:rStyle w:val="IntenseEmphasis"/>
          <w:b w:val="0"/>
        </w:rPr>
        <w:t>1</w:t>
      </w:r>
      <w:r w:rsidR="006D1F8A">
        <w:rPr>
          <w:rStyle w:val="IntenseEmphasis"/>
          <w:b w:val="0"/>
        </w:rPr>
        <w:t>)</w:t>
      </w:r>
      <w:r w:rsidR="00E11DF6">
        <w:rPr>
          <w:rStyle w:val="IntenseEmphasis"/>
          <w:b w:val="0"/>
        </w:rPr>
        <w:t xml:space="preserve"> </w:t>
      </w:r>
      <w:r w:rsidRPr="006E36EA">
        <w:rPr>
          <w:rStyle w:val="IntenseEmphasis"/>
          <w:b w:val="0"/>
        </w:rPr>
        <w:t xml:space="preserve">of the current Transportation </w:t>
      </w:r>
      <w:r w:rsidR="0081519C">
        <w:rPr>
          <w:rStyle w:val="IntenseEmphasis"/>
          <w:b w:val="0"/>
        </w:rPr>
        <w:t xml:space="preserve">Services </w:t>
      </w:r>
      <w:r w:rsidR="007A6F0F">
        <w:rPr>
          <w:rStyle w:val="IntenseEmphasis"/>
          <w:b w:val="0"/>
        </w:rPr>
        <w:t>T</w:t>
      </w:r>
      <w:r w:rsidR="007A6F0F" w:rsidRPr="006E36EA">
        <w:rPr>
          <w:rStyle w:val="IntenseEmphasis"/>
          <w:b w:val="0"/>
        </w:rPr>
        <w:t>en</w:t>
      </w:r>
      <w:r w:rsidR="007A6F0F">
        <w:rPr>
          <w:rStyle w:val="IntenseEmphasis"/>
          <w:b w:val="0"/>
        </w:rPr>
        <w:t>-Y</w:t>
      </w:r>
      <w:r w:rsidR="007A6F0F" w:rsidRPr="006E36EA">
        <w:rPr>
          <w:rStyle w:val="IntenseEmphasis"/>
          <w:b w:val="0"/>
        </w:rPr>
        <w:t xml:space="preserve">ear </w:t>
      </w:r>
      <w:r w:rsidR="007A6F0F">
        <w:rPr>
          <w:rStyle w:val="IntenseEmphasis"/>
          <w:b w:val="0"/>
        </w:rPr>
        <w:t>C</w:t>
      </w:r>
      <w:r w:rsidR="007A6F0F" w:rsidRPr="006E36EA">
        <w:rPr>
          <w:rStyle w:val="IntenseEmphasis"/>
          <w:b w:val="0"/>
        </w:rPr>
        <w:t xml:space="preserve">apital </w:t>
      </w:r>
      <w:r w:rsidR="007A6F0F">
        <w:rPr>
          <w:rStyle w:val="IntenseEmphasis"/>
          <w:b w:val="0"/>
        </w:rPr>
        <w:t>F</w:t>
      </w:r>
      <w:r w:rsidR="007A6F0F" w:rsidRPr="006E36EA">
        <w:rPr>
          <w:rStyle w:val="IntenseEmphasis"/>
          <w:b w:val="0"/>
        </w:rPr>
        <w:t xml:space="preserve">orecast </w:t>
      </w:r>
      <w:r w:rsidR="007A6F0F">
        <w:rPr>
          <w:rStyle w:val="IntenseEmphasis"/>
          <w:b w:val="0"/>
        </w:rPr>
        <w:t>P</w:t>
      </w:r>
      <w:r w:rsidR="007A6F0F" w:rsidRPr="006E36EA">
        <w:rPr>
          <w:rStyle w:val="IntenseEmphasis"/>
          <w:b w:val="0"/>
        </w:rPr>
        <w:t xml:space="preserve">lan </w:t>
      </w:r>
      <w:r w:rsidR="006E36EA" w:rsidRPr="006E36EA">
        <w:rPr>
          <w:rStyle w:val="IntenseEmphasis"/>
          <w:b w:val="0"/>
        </w:rPr>
        <w:t>is $</w:t>
      </w:r>
      <w:r w:rsidR="00CD6744">
        <w:rPr>
          <w:rStyle w:val="IntenseEmphasis"/>
          <w:b w:val="0"/>
        </w:rPr>
        <w:t>23,357,800</w:t>
      </w:r>
      <w:r w:rsidR="0042271B" w:rsidRPr="006E36EA">
        <w:rPr>
          <w:rStyle w:val="IntenseEmphasis"/>
          <w:b w:val="0"/>
        </w:rPr>
        <w:t xml:space="preserve">.  </w:t>
      </w:r>
    </w:p>
    <w:p w14:paraId="0C27B818" w14:textId="6856E03F" w:rsidR="0081519C" w:rsidRDefault="0042271B">
      <w:pPr>
        <w:rPr>
          <w:rStyle w:val="IntenseEmphasis"/>
          <w:b w:val="0"/>
        </w:rPr>
      </w:pPr>
      <w:r w:rsidRPr="006E36EA">
        <w:rPr>
          <w:rStyle w:val="IntenseEmphasis"/>
          <w:b w:val="0"/>
        </w:rPr>
        <w:t xml:space="preserve">Each of the </w:t>
      </w:r>
      <w:r w:rsidR="000429D1" w:rsidRPr="006E36EA">
        <w:rPr>
          <w:rStyle w:val="IntenseEmphasis"/>
          <w:b w:val="0"/>
        </w:rPr>
        <w:t xml:space="preserve">two </w:t>
      </w:r>
      <w:r w:rsidRPr="006E36EA">
        <w:rPr>
          <w:rStyle w:val="IntenseEmphasis"/>
          <w:b w:val="0"/>
        </w:rPr>
        <w:t xml:space="preserve">tandem trucks </w:t>
      </w:r>
      <w:r w:rsidR="00170D37">
        <w:rPr>
          <w:rStyle w:val="IntenseEmphasis"/>
          <w:b w:val="0"/>
        </w:rPr>
        <w:t>are</w:t>
      </w:r>
      <w:r w:rsidRPr="006E36EA">
        <w:rPr>
          <w:rStyle w:val="IntenseEmphasis"/>
          <w:b w:val="0"/>
        </w:rPr>
        <w:t xml:space="preserve"> estimated to cost $</w:t>
      </w:r>
      <w:r w:rsidR="00FB0464">
        <w:rPr>
          <w:rStyle w:val="IntenseEmphasis"/>
          <w:b w:val="0"/>
        </w:rPr>
        <w:t>3</w:t>
      </w:r>
      <w:r w:rsidR="00413586">
        <w:rPr>
          <w:rStyle w:val="IntenseEmphasis"/>
          <w:b w:val="0"/>
        </w:rPr>
        <w:t>23,650</w:t>
      </w:r>
      <w:r w:rsidR="000429D1" w:rsidRPr="006E36EA">
        <w:rPr>
          <w:rStyle w:val="IntenseEmphasis"/>
          <w:b w:val="0"/>
        </w:rPr>
        <w:t xml:space="preserve"> </w:t>
      </w:r>
      <w:r w:rsidRPr="006E36EA">
        <w:rPr>
          <w:rStyle w:val="IntenseEmphasis"/>
          <w:b w:val="0"/>
        </w:rPr>
        <w:t>for a total of $</w:t>
      </w:r>
      <w:r w:rsidR="00413586">
        <w:rPr>
          <w:rStyle w:val="IntenseEmphasis"/>
          <w:b w:val="0"/>
        </w:rPr>
        <w:t>647,3</w:t>
      </w:r>
      <w:r w:rsidR="00756E03">
        <w:rPr>
          <w:rStyle w:val="IntenseEmphasis"/>
          <w:b w:val="0"/>
        </w:rPr>
        <w:t>00</w:t>
      </w:r>
      <w:r w:rsidR="00413586">
        <w:rPr>
          <w:rStyle w:val="IntenseEmphasis"/>
          <w:b w:val="0"/>
        </w:rPr>
        <w:t>,</w:t>
      </w:r>
      <w:r w:rsidRPr="006E36EA">
        <w:rPr>
          <w:rStyle w:val="IntenseEmphasis"/>
          <w:b w:val="0"/>
        </w:rPr>
        <w:t xml:space="preserve"> which is </w:t>
      </w:r>
      <w:r w:rsidR="00CD6744">
        <w:rPr>
          <w:rStyle w:val="IntenseEmphasis"/>
          <w:b w:val="0"/>
        </w:rPr>
        <w:t>2.77</w:t>
      </w:r>
      <w:r w:rsidR="00413586">
        <w:rPr>
          <w:rStyle w:val="IntenseEmphasis"/>
          <w:b w:val="0"/>
        </w:rPr>
        <w:t>%</w:t>
      </w:r>
      <w:r w:rsidR="000A08D3">
        <w:rPr>
          <w:rStyle w:val="IntenseEmphasis"/>
          <w:b w:val="0"/>
        </w:rPr>
        <w:t xml:space="preserve"> </w:t>
      </w:r>
      <w:r w:rsidRPr="006E36EA">
        <w:rPr>
          <w:rStyle w:val="IntenseEmphasis"/>
          <w:b w:val="0"/>
        </w:rPr>
        <w:t xml:space="preserve">of the proposed </w:t>
      </w:r>
      <w:r w:rsidR="00CD6744">
        <w:rPr>
          <w:rStyle w:val="IntenseEmphasis"/>
          <w:b w:val="0"/>
        </w:rPr>
        <w:t xml:space="preserve">gross expenditures in the Transportation Services </w:t>
      </w:r>
      <w:r w:rsidR="006D1F8A">
        <w:rPr>
          <w:rStyle w:val="IntenseEmphasis"/>
          <w:b w:val="0"/>
        </w:rPr>
        <w:t>20</w:t>
      </w:r>
      <w:r w:rsidR="00FB0464">
        <w:rPr>
          <w:rStyle w:val="IntenseEmphasis"/>
          <w:b w:val="0"/>
        </w:rPr>
        <w:t>2</w:t>
      </w:r>
      <w:r w:rsidR="007A6F0F">
        <w:rPr>
          <w:rStyle w:val="IntenseEmphasis"/>
          <w:b w:val="0"/>
        </w:rPr>
        <w:t>1</w:t>
      </w:r>
      <w:r w:rsidR="006D1F8A">
        <w:rPr>
          <w:rStyle w:val="IntenseEmphasis"/>
          <w:b w:val="0"/>
        </w:rPr>
        <w:t xml:space="preserve"> </w:t>
      </w:r>
      <w:r w:rsidRPr="006E36EA">
        <w:rPr>
          <w:rStyle w:val="IntenseEmphasis"/>
          <w:b w:val="0"/>
        </w:rPr>
        <w:t xml:space="preserve">capital </w:t>
      </w:r>
      <w:r w:rsidR="006D1F8A" w:rsidRPr="006E36EA">
        <w:rPr>
          <w:rStyle w:val="IntenseEmphasis"/>
          <w:b w:val="0"/>
        </w:rPr>
        <w:t xml:space="preserve">forecast </w:t>
      </w:r>
      <w:r w:rsidR="006D1F8A">
        <w:rPr>
          <w:rStyle w:val="IntenseEmphasis"/>
          <w:b w:val="0"/>
        </w:rPr>
        <w:t>plan</w:t>
      </w:r>
      <w:r w:rsidRPr="006E36EA">
        <w:rPr>
          <w:rStyle w:val="IntenseEmphasis"/>
          <w:b w:val="0"/>
        </w:rPr>
        <w:t>.</w:t>
      </w:r>
      <w:bookmarkStart w:id="1" w:name="_Hlk19188141"/>
      <w:r w:rsidR="007A6F0F">
        <w:rPr>
          <w:rStyle w:val="IntenseEmphasis"/>
          <w:b w:val="0"/>
        </w:rPr>
        <w:t xml:space="preserve">  </w:t>
      </w:r>
      <w:r w:rsidR="004C57B6">
        <w:rPr>
          <w:rStyle w:val="IntenseEmphasis"/>
          <w:b w:val="0"/>
        </w:rPr>
        <w:t>The total percentage of gross expenditures to be used before the approval of the 202</w:t>
      </w:r>
      <w:r w:rsidR="003F5EC2">
        <w:rPr>
          <w:rStyle w:val="IntenseEmphasis"/>
          <w:b w:val="0"/>
        </w:rPr>
        <w:t>1</w:t>
      </w:r>
      <w:r w:rsidR="004C57B6">
        <w:rPr>
          <w:rStyle w:val="IntenseEmphasis"/>
          <w:b w:val="0"/>
        </w:rPr>
        <w:t xml:space="preserve"> Budget, including the two tandem trucks, would be </w:t>
      </w:r>
      <w:r w:rsidR="00CD6744">
        <w:rPr>
          <w:rStyle w:val="IntenseEmphasis"/>
          <w:b w:val="0"/>
        </w:rPr>
        <w:t>39.04</w:t>
      </w:r>
      <w:r w:rsidR="004C57B6">
        <w:rPr>
          <w:rStyle w:val="IntenseEmphasis"/>
          <w:b w:val="0"/>
        </w:rPr>
        <w:t>%.</w:t>
      </w:r>
      <w:bookmarkEnd w:id="1"/>
      <w:r w:rsidR="004439A2">
        <w:rPr>
          <w:rStyle w:val="IntenseEmphasis"/>
          <w:b w:val="0"/>
        </w:rPr>
        <w:t xml:space="preserve"> </w:t>
      </w:r>
      <w:r w:rsidR="00F15EEE">
        <w:rPr>
          <w:rStyle w:val="IntenseEmphasis"/>
          <w:b w:val="0"/>
        </w:rPr>
        <w:t xml:space="preserve"> The two construction projects, which will be tendered by the Engineering Division, will make up the difference of </w:t>
      </w:r>
      <w:r w:rsidR="00CD6744">
        <w:rPr>
          <w:rStyle w:val="IntenseEmphasis"/>
          <w:b w:val="0"/>
        </w:rPr>
        <w:t>36.27</w:t>
      </w:r>
      <w:r w:rsidR="00F15EEE">
        <w:rPr>
          <w:rStyle w:val="IntenseEmphasis"/>
          <w:b w:val="0"/>
        </w:rPr>
        <w:t>%.</w:t>
      </w:r>
    </w:p>
    <w:tbl>
      <w:tblPr>
        <w:tblStyle w:val="TableGrid"/>
        <w:tblW w:w="9899" w:type="dxa"/>
        <w:tblInd w:w="108" w:type="dxa"/>
        <w:tblLook w:val="04A0" w:firstRow="1" w:lastRow="0" w:firstColumn="1" w:lastColumn="0" w:noHBand="0" w:noVBand="1"/>
        <w:tblCaption w:val="2019-2028 Capital Forecast Plan"/>
        <w:tblDescription w:val="2019-2028 Capital Forecast Plan"/>
      </w:tblPr>
      <w:tblGrid>
        <w:gridCol w:w="8212"/>
        <w:gridCol w:w="1687"/>
      </w:tblGrid>
      <w:tr w:rsidR="0081519C" w:rsidRPr="00EB683B" w14:paraId="5C825DA9" w14:textId="77777777" w:rsidTr="0081519C">
        <w:trPr>
          <w:trHeight w:val="20"/>
          <w:tblHeader/>
        </w:trPr>
        <w:tc>
          <w:tcPr>
            <w:tcW w:w="8212" w:type="dxa"/>
            <w:shd w:val="clear" w:color="auto" w:fill="auto"/>
            <w:vAlign w:val="center"/>
          </w:tcPr>
          <w:p w14:paraId="1CDB06FE" w14:textId="5C7A8A58" w:rsidR="0081519C" w:rsidRPr="00026CFC" w:rsidRDefault="0081519C" w:rsidP="0081519C">
            <w:pPr>
              <w:spacing w:before="60" w:after="60"/>
              <w:jc w:val="center"/>
              <w:rPr>
                <w:rStyle w:val="IntenseEmphasis"/>
              </w:rPr>
            </w:pPr>
            <w:r w:rsidRPr="00026CFC">
              <w:rPr>
                <w:rStyle w:val="IntenseEmphasis"/>
              </w:rPr>
              <w:t>Capital Cost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CFE229B" w14:textId="5A662D0C" w:rsidR="0081519C" w:rsidRPr="00026CFC" w:rsidRDefault="0081519C" w:rsidP="0081519C">
            <w:pPr>
              <w:spacing w:before="60" w:after="60"/>
              <w:jc w:val="center"/>
              <w:rPr>
                <w:rStyle w:val="IntenseEmphasis"/>
              </w:rPr>
            </w:pPr>
          </w:p>
        </w:tc>
      </w:tr>
      <w:tr w:rsidR="00A46490" w:rsidRPr="00EB683B" w14:paraId="468425BC" w14:textId="77777777" w:rsidTr="00EB683B">
        <w:trPr>
          <w:trHeight w:val="20"/>
        </w:trPr>
        <w:tc>
          <w:tcPr>
            <w:tcW w:w="8212" w:type="dxa"/>
            <w:vAlign w:val="center"/>
          </w:tcPr>
          <w:p w14:paraId="105015EE" w14:textId="5B54CB41" w:rsidR="00A46490" w:rsidRPr="00026CFC" w:rsidRDefault="00A46490" w:rsidP="00EB683B">
            <w:pPr>
              <w:spacing w:before="60" w:after="60"/>
              <w:rPr>
                <w:rStyle w:val="IntenseEmphasis"/>
                <w:b w:val="0"/>
              </w:rPr>
            </w:pPr>
            <w:r w:rsidRPr="00026CFC">
              <w:rPr>
                <w:rStyle w:val="IntenseEmphasis"/>
                <w:b w:val="0"/>
              </w:rPr>
              <w:t xml:space="preserve">Cost of </w:t>
            </w:r>
            <w:r w:rsidR="00F15EEE">
              <w:rPr>
                <w:rStyle w:val="IntenseEmphasis"/>
                <w:b w:val="0"/>
              </w:rPr>
              <w:t xml:space="preserve">one </w:t>
            </w:r>
            <w:r w:rsidR="00EB683B" w:rsidRPr="00026CFC">
              <w:rPr>
                <w:rStyle w:val="IntenseEmphasis"/>
                <w:b w:val="0"/>
              </w:rPr>
              <w:t>T</w:t>
            </w:r>
            <w:r w:rsidRPr="00026CFC">
              <w:rPr>
                <w:rStyle w:val="IntenseEmphasis"/>
                <w:b w:val="0"/>
              </w:rPr>
              <w:t>andem net HST (scheduled for 20</w:t>
            </w:r>
            <w:r w:rsidR="00FB0464" w:rsidRPr="00026CFC">
              <w:rPr>
                <w:rStyle w:val="IntenseEmphasis"/>
                <w:b w:val="0"/>
              </w:rPr>
              <w:t>2</w:t>
            </w:r>
            <w:r w:rsidR="007A6F0F">
              <w:rPr>
                <w:rStyle w:val="IntenseEmphasis"/>
                <w:b w:val="0"/>
              </w:rPr>
              <w:t>1</w:t>
            </w:r>
            <w:r w:rsidRPr="00026CFC">
              <w:rPr>
                <w:rStyle w:val="IntenseEmphasis"/>
                <w:b w:val="0"/>
              </w:rPr>
              <w:t>)</w:t>
            </w:r>
          </w:p>
        </w:tc>
        <w:tc>
          <w:tcPr>
            <w:tcW w:w="1687" w:type="dxa"/>
            <w:vAlign w:val="center"/>
          </w:tcPr>
          <w:p w14:paraId="6B6616C3" w14:textId="699BAC14" w:rsidR="00A46490" w:rsidRPr="00413586" w:rsidRDefault="007A6F0F" w:rsidP="00EB683B">
            <w:pPr>
              <w:spacing w:before="60" w:after="60"/>
              <w:rPr>
                <w:rStyle w:val="IntenseEmphasis"/>
                <w:b w:val="0"/>
              </w:rPr>
            </w:pPr>
            <w:r w:rsidRPr="00413586">
              <w:rPr>
                <w:rStyle w:val="IntenseEmphasis"/>
                <w:b w:val="0"/>
              </w:rPr>
              <w:t>$</w:t>
            </w:r>
            <w:r w:rsidR="00F15EEE">
              <w:rPr>
                <w:rStyle w:val="IntenseEmphasis"/>
                <w:b w:val="0"/>
              </w:rPr>
              <w:t>323,650</w:t>
            </w:r>
          </w:p>
        </w:tc>
      </w:tr>
      <w:tr w:rsidR="00A46490" w:rsidRPr="00EB683B" w14:paraId="69F787F9" w14:textId="77777777" w:rsidTr="00EB683B">
        <w:trPr>
          <w:trHeight w:val="20"/>
        </w:trPr>
        <w:tc>
          <w:tcPr>
            <w:tcW w:w="8212" w:type="dxa"/>
            <w:vAlign w:val="center"/>
          </w:tcPr>
          <w:p w14:paraId="56A8708B" w14:textId="3EE15C4D" w:rsidR="00A46490" w:rsidRPr="00382F2E" w:rsidRDefault="00FB0464" w:rsidP="00EB683B">
            <w:pPr>
              <w:spacing w:before="60" w:after="60"/>
              <w:rPr>
                <w:rStyle w:val="IntenseEmphasis"/>
                <w:b w:val="0"/>
                <w:bCs w:val="0"/>
              </w:rPr>
            </w:pPr>
            <w:r w:rsidRPr="00382F2E">
              <w:rPr>
                <w:rStyle w:val="IntenseEmphasis"/>
                <w:b w:val="0"/>
                <w:bCs w:val="0"/>
              </w:rPr>
              <w:t>Total Cost net HST (scheduled for 202</w:t>
            </w:r>
            <w:r w:rsidR="007A6F0F" w:rsidRPr="00382F2E">
              <w:rPr>
                <w:rStyle w:val="IntenseEmphasis"/>
                <w:b w:val="0"/>
                <w:bCs w:val="0"/>
              </w:rPr>
              <w:t>1</w:t>
            </w:r>
            <w:r w:rsidRPr="00382F2E">
              <w:rPr>
                <w:rStyle w:val="IntenseEmphasis"/>
                <w:b w:val="0"/>
                <w:bCs w:val="0"/>
              </w:rPr>
              <w:t>)</w:t>
            </w:r>
          </w:p>
        </w:tc>
        <w:tc>
          <w:tcPr>
            <w:tcW w:w="1687" w:type="dxa"/>
            <w:vAlign w:val="center"/>
          </w:tcPr>
          <w:p w14:paraId="16F256C5" w14:textId="3FB87BF4" w:rsidR="00A46490" w:rsidRPr="00382F2E" w:rsidRDefault="007A6F0F" w:rsidP="00EB683B">
            <w:pPr>
              <w:spacing w:before="60" w:after="60"/>
              <w:rPr>
                <w:rStyle w:val="IntenseEmphasis"/>
                <w:b w:val="0"/>
                <w:bCs w:val="0"/>
              </w:rPr>
            </w:pPr>
            <w:r w:rsidRPr="00382F2E">
              <w:rPr>
                <w:rStyle w:val="IntenseEmphasis"/>
                <w:b w:val="0"/>
                <w:bCs w:val="0"/>
              </w:rPr>
              <w:t>$</w:t>
            </w:r>
            <w:r w:rsidR="00413586" w:rsidRPr="00382F2E">
              <w:rPr>
                <w:rStyle w:val="IntenseEmphasis"/>
                <w:b w:val="0"/>
                <w:bCs w:val="0"/>
              </w:rPr>
              <w:t>6</w:t>
            </w:r>
            <w:r w:rsidR="00F15EEE" w:rsidRPr="00382F2E">
              <w:rPr>
                <w:rStyle w:val="IntenseEmphasis"/>
                <w:b w:val="0"/>
                <w:bCs w:val="0"/>
              </w:rPr>
              <w:t>47,300</w:t>
            </w:r>
          </w:p>
        </w:tc>
      </w:tr>
    </w:tbl>
    <w:p w14:paraId="19D7D645" w14:textId="77777777" w:rsidR="00EF2B1E" w:rsidRPr="00EF2B1E" w:rsidRDefault="00EF2B1E" w:rsidP="009F7C7E">
      <w:pPr>
        <w:pStyle w:val="Heading2"/>
        <w:rPr>
          <w:rStyle w:val="IntenseEmphasis"/>
          <w:b w:val="0"/>
        </w:rPr>
      </w:pPr>
      <w:r w:rsidRPr="00EF2B1E">
        <w:rPr>
          <w:rStyle w:val="IntenseEmphasis"/>
          <w:b w:val="0"/>
        </w:rPr>
        <w:lastRenderedPageBreak/>
        <w:t>Relevant Consultation</w:t>
      </w:r>
    </w:p>
    <w:p w14:paraId="0FA98934" w14:textId="32F3CEC7" w:rsidR="00C93B8F" w:rsidRPr="004A1B13" w:rsidRDefault="00EA08B0" w:rsidP="007A6F0F">
      <w:pPr>
        <w:spacing w:before="240" w:after="0"/>
        <w:rPr>
          <w:rStyle w:val="IntenseEmphasis"/>
          <w:rFonts w:cs="Arial"/>
          <w:b w:val="0"/>
        </w:rPr>
      </w:pPr>
      <w:sdt>
        <w:sdtPr>
          <w:rPr>
            <w:b/>
            <w:bCs/>
          </w:rPr>
          <w:id w:val="1286392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3B8F">
            <w:rPr>
              <w:rFonts w:ascii="MS Gothic" w:eastAsia="MS Gothic" w:hAnsi="MS Gothic" w:hint="eastAsia"/>
              <w:bCs/>
            </w:rPr>
            <w:t>☒</w:t>
          </w:r>
        </w:sdtContent>
      </w:sdt>
      <w:r w:rsidR="00832EDD" w:rsidRPr="001E1628">
        <w:rPr>
          <w:bCs/>
        </w:rPr>
        <w:tab/>
        <w:t>Internal</w:t>
      </w:r>
      <w:r w:rsidR="007A6F0F">
        <w:rPr>
          <w:bCs/>
        </w:rPr>
        <w:br/>
      </w:r>
      <w:r w:rsidR="00C93B8F">
        <w:rPr>
          <w:bCs/>
        </w:rPr>
        <w:tab/>
      </w:r>
      <w:r w:rsidR="00C93B8F" w:rsidRPr="004A1B13">
        <w:rPr>
          <w:rStyle w:val="IntenseEmphasis"/>
          <w:rFonts w:cs="Arial"/>
          <w:b w:val="0"/>
        </w:rPr>
        <w:t>Finance Department</w:t>
      </w:r>
    </w:p>
    <w:p w14:paraId="7B3554C4" w14:textId="2918AEAE" w:rsidR="00832EDD" w:rsidRPr="001E1628" w:rsidRDefault="00EA08B0" w:rsidP="00832EDD">
      <w:pPr>
        <w:spacing w:before="240"/>
        <w:rPr>
          <w:bCs/>
        </w:rPr>
      </w:pPr>
      <w:sdt>
        <w:sdtPr>
          <w:rPr>
            <w:bCs/>
          </w:rPr>
          <w:id w:val="18868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EDD" w:rsidRPr="001E1628">
            <w:rPr>
              <w:rFonts w:ascii="Segoe UI Symbol" w:hAnsi="Segoe UI Symbol" w:cs="Segoe UI Symbol"/>
              <w:bCs/>
            </w:rPr>
            <w:t>☐</w:t>
          </w:r>
        </w:sdtContent>
      </w:sdt>
      <w:r w:rsidR="00832EDD" w:rsidRPr="001E1628">
        <w:rPr>
          <w:bCs/>
        </w:rPr>
        <w:tab/>
        <w:t>External</w:t>
      </w:r>
    </w:p>
    <w:p w14:paraId="700F66D9" w14:textId="504947DD" w:rsidR="00EF2B1E" w:rsidRPr="00EF2B1E" w:rsidRDefault="00377F53" w:rsidP="009F7C7E">
      <w:pPr>
        <w:pStyle w:val="Heading3"/>
        <w:rPr>
          <w:rStyle w:val="IntenseEmphasis"/>
          <w:b w:val="0"/>
        </w:rPr>
      </w:pPr>
      <w:r>
        <w:rPr>
          <w:rStyle w:val="IntenseEmphasis"/>
          <w:b w:val="0"/>
        </w:rPr>
        <w:t>Appendices and Attachments</w:t>
      </w:r>
    </w:p>
    <w:p w14:paraId="6967EF82" w14:textId="43989A34" w:rsidR="00AC4AA2" w:rsidRDefault="00FB0464" w:rsidP="00104C85">
      <w:pPr>
        <w:spacing w:after="0"/>
        <w:rPr>
          <w:rStyle w:val="IntenseEmphasis"/>
          <w:b w:val="0"/>
        </w:rPr>
      </w:pPr>
      <w:r>
        <w:rPr>
          <w:rStyle w:val="IntenseEmphasis"/>
          <w:b w:val="0"/>
        </w:rPr>
        <w:t>Non</w:t>
      </w:r>
      <w:r w:rsidR="00832EDD">
        <w:rPr>
          <w:rStyle w:val="IntenseEmphasis"/>
          <w:b w:val="0"/>
        </w:rPr>
        <w:t>e.</w:t>
      </w:r>
    </w:p>
    <w:sectPr w:rsidR="00AC4AA2" w:rsidSect="00832EDD">
      <w:headerReference w:type="default" r:id="rId8"/>
      <w:footerReference w:type="default" r:id="rId9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72C3" w14:textId="77777777" w:rsidR="00AC1487" w:rsidRDefault="00AC1487" w:rsidP="009F7C7E">
      <w:pPr>
        <w:spacing w:after="0" w:line="240" w:lineRule="auto"/>
      </w:pPr>
      <w:r>
        <w:separator/>
      </w:r>
    </w:p>
  </w:endnote>
  <w:endnote w:type="continuationSeparator" w:id="0">
    <w:p w14:paraId="5BCA1111" w14:textId="77777777" w:rsidR="00AC1487" w:rsidRDefault="00AC1487" w:rsidP="009F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C0A5" w14:textId="3BCE040D" w:rsidR="00377F53" w:rsidRPr="009F7C7E" w:rsidRDefault="00377F53" w:rsidP="00377F53">
    <w:pPr>
      <w:pStyle w:val="Footer"/>
      <w:tabs>
        <w:tab w:val="clear" w:pos="4680"/>
        <w:tab w:val="clear" w:pos="9360"/>
        <w:tab w:val="right" w:pos="12960"/>
      </w:tabs>
      <w:rPr>
        <w:sz w:val="22"/>
        <w:szCs w:val="22"/>
      </w:rPr>
    </w:pPr>
    <w:r>
      <w:rPr>
        <w:sz w:val="22"/>
        <w:szCs w:val="22"/>
      </w:rPr>
      <w:t>TR-CW-</w:t>
    </w:r>
    <w:r w:rsidR="007A6F0F">
      <w:rPr>
        <w:sz w:val="22"/>
        <w:szCs w:val="22"/>
      </w:rPr>
      <w:t>22</w:t>
    </w:r>
    <w:r>
      <w:rPr>
        <w:sz w:val="22"/>
        <w:szCs w:val="22"/>
      </w:rPr>
      <w:t>-</w:t>
    </w:r>
    <w:r w:rsidR="007A6F0F">
      <w:rPr>
        <w:sz w:val="22"/>
        <w:szCs w:val="22"/>
      </w:rPr>
      <w:t>20</w:t>
    </w:r>
    <w:r>
      <w:rPr>
        <w:sz w:val="22"/>
        <w:szCs w:val="22"/>
      </w:rPr>
      <w:tab/>
    </w:r>
    <w:r w:rsidR="007A6F0F">
      <w:rPr>
        <w:sz w:val="22"/>
        <w:szCs w:val="22"/>
      </w:rPr>
      <w:t>October 22,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E41E8" w14:textId="77777777" w:rsidR="00AC1487" w:rsidRDefault="00AC1487" w:rsidP="009F7C7E">
      <w:pPr>
        <w:spacing w:after="0" w:line="240" w:lineRule="auto"/>
      </w:pPr>
      <w:r>
        <w:separator/>
      </w:r>
    </w:p>
  </w:footnote>
  <w:footnote w:type="continuationSeparator" w:id="0">
    <w:p w14:paraId="42938280" w14:textId="77777777" w:rsidR="00AC1487" w:rsidRDefault="00AC1487" w:rsidP="009F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0FD0" w14:textId="32897430" w:rsidR="007A6F0F" w:rsidRDefault="007A6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31A21"/>
    <w:multiLevelType w:val="hybridMultilevel"/>
    <w:tmpl w:val="2EBC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linkStyle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1E"/>
    <w:rsid w:val="00010956"/>
    <w:rsid w:val="00026CFC"/>
    <w:rsid w:val="00034F86"/>
    <w:rsid w:val="00041600"/>
    <w:rsid w:val="00041B91"/>
    <w:rsid w:val="000429D1"/>
    <w:rsid w:val="0006092A"/>
    <w:rsid w:val="00067966"/>
    <w:rsid w:val="000A08D3"/>
    <w:rsid w:val="00104C85"/>
    <w:rsid w:val="00170D37"/>
    <w:rsid w:val="001A011E"/>
    <w:rsid w:val="001B7C60"/>
    <w:rsid w:val="002C63BD"/>
    <w:rsid w:val="002D265B"/>
    <w:rsid w:val="00325D3D"/>
    <w:rsid w:val="00340CC1"/>
    <w:rsid w:val="00353434"/>
    <w:rsid w:val="00355A03"/>
    <w:rsid w:val="003774D9"/>
    <w:rsid w:val="00377F53"/>
    <w:rsid w:val="00382F2E"/>
    <w:rsid w:val="003D3864"/>
    <w:rsid w:val="003E1C93"/>
    <w:rsid w:val="003F5EC2"/>
    <w:rsid w:val="00413586"/>
    <w:rsid w:val="0042271B"/>
    <w:rsid w:val="004439A2"/>
    <w:rsid w:val="00452EA8"/>
    <w:rsid w:val="004720EF"/>
    <w:rsid w:val="0048460E"/>
    <w:rsid w:val="004A633C"/>
    <w:rsid w:val="004C57B6"/>
    <w:rsid w:val="004D167C"/>
    <w:rsid w:val="004E1936"/>
    <w:rsid w:val="004F4902"/>
    <w:rsid w:val="00501774"/>
    <w:rsid w:val="0051689F"/>
    <w:rsid w:val="00520734"/>
    <w:rsid w:val="005378AE"/>
    <w:rsid w:val="005B515F"/>
    <w:rsid w:val="005C0CD3"/>
    <w:rsid w:val="005E6DDD"/>
    <w:rsid w:val="006106D2"/>
    <w:rsid w:val="006430D0"/>
    <w:rsid w:val="00682681"/>
    <w:rsid w:val="006D1F8A"/>
    <w:rsid w:val="006E36EA"/>
    <w:rsid w:val="00703EF4"/>
    <w:rsid w:val="00752CBA"/>
    <w:rsid w:val="00756E03"/>
    <w:rsid w:val="00763762"/>
    <w:rsid w:val="0078361E"/>
    <w:rsid w:val="0078629D"/>
    <w:rsid w:val="007A1970"/>
    <w:rsid w:val="007A6F0F"/>
    <w:rsid w:val="007B6B9E"/>
    <w:rsid w:val="007C015D"/>
    <w:rsid w:val="007E6CF1"/>
    <w:rsid w:val="00812465"/>
    <w:rsid w:val="0081519C"/>
    <w:rsid w:val="00832EDD"/>
    <w:rsid w:val="00840076"/>
    <w:rsid w:val="00841881"/>
    <w:rsid w:val="0090755B"/>
    <w:rsid w:val="009240D5"/>
    <w:rsid w:val="00966D0F"/>
    <w:rsid w:val="00982B22"/>
    <w:rsid w:val="009F7C7E"/>
    <w:rsid w:val="00A35B0F"/>
    <w:rsid w:val="00A46490"/>
    <w:rsid w:val="00A46EA2"/>
    <w:rsid w:val="00AB561C"/>
    <w:rsid w:val="00AC1487"/>
    <w:rsid w:val="00AC4AA2"/>
    <w:rsid w:val="00AD6B47"/>
    <w:rsid w:val="00B116B9"/>
    <w:rsid w:val="00B33226"/>
    <w:rsid w:val="00B47643"/>
    <w:rsid w:val="00B51F38"/>
    <w:rsid w:val="00BB3652"/>
    <w:rsid w:val="00BC1E1A"/>
    <w:rsid w:val="00BD3B29"/>
    <w:rsid w:val="00BE4AF1"/>
    <w:rsid w:val="00C4410C"/>
    <w:rsid w:val="00C93B8F"/>
    <w:rsid w:val="00CC327E"/>
    <w:rsid w:val="00CD6744"/>
    <w:rsid w:val="00CF33A1"/>
    <w:rsid w:val="00D10289"/>
    <w:rsid w:val="00D5238E"/>
    <w:rsid w:val="00D95A59"/>
    <w:rsid w:val="00DB2736"/>
    <w:rsid w:val="00DC2EF5"/>
    <w:rsid w:val="00DD3FCD"/>
    <w:rsid w:val="00DE0FAA"/>
    <w:rsid w:val="00DE125F"/>
    <w:rsid w:val="00DF0097"/>
    <w:rsid w:val="00E11DF6"/>
    <w:rsid w:val="00E203A3"/>
    <w:rsid w:val="00E223A2"/>
    <w:rsid w:val="00E327E1"/>
    <w:rsid w:val="00EA08B0"/>
    <w:rsid w:val="00EA6E34"/>
    <w:rsid w:val="00EB683B"/>
    <w:rsid w:val="00EF2B1E"/>
    <w:rsid w:val="00F15EEE"/>
    <w:rsid w:val="00F327DC"/>
    <w:rsid w:val="00F54072"/>
    <w:rsid w:val="00F848F7"/>
    <w:rsid w:val="00FB0464"/>
    <w:rsid w:val="00FE449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0D744C4"/>
  <w15:docId w15:val="{1F6A20A6-1CC7-4124-903A-56193BF2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B0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8B0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8B0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A08B0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8B0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08B0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08B0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08B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08B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08B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EA08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08B0"/>
  </w:style>
  <w:style w:type="character" w:customStyle="1" w:styleId="Heading1Char">
    <w:name w:val="Heading 1 Char"/>
    <w:basedOn w:val="DefaultParagraphFont"/>
    <w:link w:val="Heading1"/>
    <w:uiPriority w:val="9"/>
    <w:rsid w:val="00EA08B0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08B0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A08B0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A08B0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A08B0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A08B0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A08B0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A08B0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A08B0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EA08B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A08B0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8B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08B0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A08B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EA08B0"/>
    <w:rPr>
      <w:rFonts w:ascii="Arial" w:hAnsi="Arial"/>
      <w:i/>
      <w:iCs/>
    </w:rPr>
  </w:style>
  <w:style w:type="paragraph" w:styleId="NoSpacing">
    <w:name w:val="No Spacing"/>
    <w:uiPriority w:val="1"/>
    <w:qFormat/>
    <w:rsid w:val="00EA08B0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08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08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08B0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8B0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8B0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A08B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A08B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EA08B0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A08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08B0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A08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8B0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EA08B0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EA08B0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EA08B0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EA08B0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EA08B0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EA08B0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1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F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7E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7E"/>
    <w:rPr>
      <w:rFonts w:ascii="Arial" w:hAnsi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2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71B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71B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>2020</Year>
    <originator xmlns="e6cd7bd4-3f3e-4495-b8c9-139289cd76e6" xsi:nil="true"/>
    <policyNumber xmlns="e6cd7bd4-3f3e-4495-b8c9-139289cd76e6" xsi:nil="true"/>
    <documentNumber xmlns="e6cd7bd4-3f3e-4495-b8c9-139289cd76e6">GC_114524402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[2020-10-22 Committee of the Whole [8490]]</meetingId>
    <capitalProjectPriority xmlns="e6cd7bd4-3f3e-4495-b8c9-139289cd76e6" xsi:nil="true"/>
    <policyApprovalDate xmlns="e6cd7bd4-3f3e-4495-b8c9-139289cd76e6" xsi:nil="true"/>
    <NodeRef xmlns="e6cd7bd4-3f3e-4495-b8c9-139289cd76e6">1a1b0e96-8e28-4851-9e42-a8caebbbc009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3FA144E-069C-4C63-8D27-3463DB32F593}"/>
</file>

<file path=customXml/itemProps2.xml><?xml version="1.0" encoding="utf-8"?>
<ds:datastoreItem xmlns:ds="http://schemas.openxmlformats.org/officeDocument/2006/customXml" ds:itemID="{235E5635-E7B9-464A-93D1-245CF050F4B0}"/>
</file>

<file path=customXml/itemProps3.xml><?xml version="1.0" encoding="utf-8"?>
<ds:datastoreItem xmlns:ds="http://schemas.openxmlformats.org/officeDocument/2006/customXml" ds:itemID="{4CFEFD26-9D42-4A54-BB49-7F6E36A76D92}"/>
</file>

<file path=customXml/itemProps4.xml><?xml version="1.0" encoding="utf-8"?>
<ds:datastoreItem xmlns:ds="http://schemas.openxmlformats.org/officeDocument/2006/customXml" ds:itemID="{6072801F-E5C0-4EBB-A4EF-F31191905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County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24</cp:revision>
  <dcterms:created xsi:type="dcterms:W3CDTF">2020-10-07T15:01:00Z</dcterms:created>
  <dcterms:modified xsi:type="dcterms:W3CDTF">2020-11-25T22:01:00Z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