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44512BC0" wp14:editId="79083299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720AE7" w:rsidP="00AC3A8B">
      <w:pPr>
        <w:pStyle w:val="Heading1"/>
        <w:jc w:val="center"/>
      </w:pPr>
      <w:r>
        <w:t xml:space="preserve">Addendum </w:t>
      </w:r>
      <w:proofErr w:type="gramStart"/>
      <w:r>
        <w:t>To</w:t>
      </w:r>
      <w:proofErr w:type="gramEnd"/>
      <w:r w:rsidR="00B06C98">
        <w:t xml:space="preserve"> </w:t>
      </w:r>
      <w:r w:rsidR="005F5D88">
        <w:t xml:space="preserve">Report </w:t>
      </w:r>
      <w:r w:rsidR="00953A5E">
        <w:t>TR-TAPS-</w:t>
      </w:r>
      <w:r w:rsidR="00DA0438">
        <w:t>04</w:t>
      </w:r>
      <w:r w:rsidR="00F45554">
        <w:t>-1</w:t>
      </w:r>
      <w:r w:rsidR="00DA0438">
        <w:t>6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BC0B54">
        <w:t xml:space="preserve">Chair </w:t>
      </w:r>
      <w:r w:rsidR="003633A4">
        <w:t xml:space="preserve">Bell </w:t>
      </w:r>
      <w:r w:rsidR="005E5FBE">
        <w:t xml:space="preserve">and Members of the </w:t>
      </w:r>
      <w:r w:rsidR="00D927D7">
        <w:t xml:space="preserve">Transportation and </w:t>
      </w:r>
      <w:r w:rsidR="00D927D7">
        <w:rPr>
          <w:lang w:val="en-CA"/>
        </w:rPr>
        <w:t>Public Safety</w:t>
      </w:r>
      <w:r w:rsidR="005E5FBE">
        <w:t xml:space="preserve">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1405B5">
        <w:t>M.J. Kelly</w:t>
      </w:r>
      <w:r w:rsidR="005E5FBE">
        <w:t xml:space="preserve">, Director of </w:t>
      </w:r>
      <w:r w:rsidR="001405B5">
        <w:t>Transportation Services</w:t>
      </w:r>
    </w:p>
    <w:p w:rsidR="00B06C98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Meeting Date:</w:t>
      </w:r>
      <w:r w:rsidRPr="00FB686F">
        <w:tab/>
      </w:r>
      <w:r w:rsidR="00B06C98">
        <w:t>February 18, 2016</w:t>
      </w:r>
    </w:p>
    <w:p w:rsidR="00C26791" w:rsidRPr="00C26791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E36D4D" w:rsidRPr="00E36D4D">
        <w:rPr>
          <w:rStyle w:val="Strong"/>
          <w:b w:val="0"/>
        </w:rPr>
        <w:t>Termination of Municipality of Grey Highlands Sand/Salt Storage Structure Agreement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DE2A1F">
        <w:t xml:space="preserve">Recommendation adopted by Committee as presented per Resolution TAPS29-16; Endorsed by County Council March 1, 2016 per Resolution CC37-16; </w:t>
      </w:r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0F16EC" w:rsidRPr="007D7124" w:rsidRDefault="00CD7943" w:rsidP="00AC3A8B">
      <w:pPr>
        <w:rPr>
          <w:b/>
        </w:rPr>
      </w:pPr>
      <w:r>
        <w:rPr>
          <w:b/>
        </w:rPr>
        <w:t>WHEREAS</w:t>
      </w:r>
      <w:r w:rsidR="002D3011">
        <w:rPr>
          <w:b/>
        </w:rPr>
        <w:t xml:space="preserve"> the </w:t>
      </w:r>
      <w:r w:rsidR="00606365">
        <w:rPr>
          <w:b/>
        </w:rPr>
        <w:t xml:space="preserve">Municipality of Grey Highlands </w:t>
      </w:r>
      <w:r w:rsidR="000D6500">
        <w:rPr>
          <w:b/>
        </w:rPr>
        <w:t xml:space="preserve">and the County of Grey </w:t>
      </w:r>
      <w:r w:rsidR="00606365">
        <w:rPr>
          <w:b/>
        </w:rPr>
        <w:t>have an agreement</w:t>
      </w:r>
      <w:r w:rsidR="000D6500">
        <w:rPr>
          <w:b/>
        </w:rPr>
        <w:t xml:space="preserve"> re</w:t>
      </w:r>
      <w:r w:rsidR="000F16EC">
        <w:rPr>
          <w:b/>
        </w:rPr>
        <w:t xml:space="preserve">garding the cost sharing of the </w:t>
      </w:r>
      <w:r w:rsidR="00E36D4D">
        <w:rPr>
          <w:b/>
        </w:rPr>
        <w:t>sand/salt storage structure</w:t>
      </w:r>
      <w:r w:rsidR="00FA26A6">
        <w:rPr>
          <w:b/>
        </w:rPr>
        <w:t xml:space="preserve"> </w:t>
      </w:r>
      <w:r w:rsidR="000F16EC">
        <w:rPr>
          <w:b/>
        </w:rPr>
        <w:t xml:space="preserve">located at </w:t>
      </w:r>
      <w:r w:rsidR="00606365" w:rsidRPr="007D7124">
        <w:rPr>
          <w:b/>
        </w:rPr>
        <w:t xml:space="preserve">494140 Grey Road 2, </w:t>
      </w:r>
      <w:r w:rsidR="00802941" w:rsidRPr="007D7124">
        <w:rPr>
          <w:b/>
          <w:lang w:val="en-CA"/>
        </w:rPr>
        <w:t>Pt.</w:t>
      </w:r>
      <w:r w:rsidR="00606365" w:rsidRPr="007D7124">
        <w:rPr>
          <w:b/>
          <w:lang w:val="en-CA"/>
        </w:rPr>
        <w:t xml:space="preserve"> Lot 15, Concession VIII;</w:t>
      </w:r>
      <w:r w:rsidR="00FA26A6">
        <w:rPr>
          <w:b/>
          <w:lang w:val="en-CA"/>
        </w:rPr>
        <w:t xml:space="preserve"> </w:t>
      </w:r>
      <w:r w:rsidR="00606365" w:rsidRPr="007D7124">
        <w:rPr>
          <w:b/>
          <w:lang w:val="en-CA"/>
        </w:rPr>
        <w:t xml:space="preserve">RP 17R2721 </w:t>
      </w:r>
      <w:r w:rsidR="00C4059F">
        <w:rPr>
          <w:b/>
          <w:lang w:val="en-CA"/>
        </w:rPr>
        <w:t>Pt1, former Township of Osprey</w:t>
      </w:r>
      <w:r w:rsidR="00606365" w:rsidRPr="007D7124">
        <w:rPr>
          <w:b/>
          <w:lang w:val="en-CA"/>
        </w:rPr>
        <w:t>, the Municipality of Grey Highlands;</w:t>
      </w:r>
    </w:p>
    <w:p w:rsidR="000F16EC" w:rsidRDefault="00992EE8" w:rsidP="00AC3A8B">
      <w:pPr>
        <w:rPr>
          <w:b/>
        </w:rPr>
      </w:pPr>
      <w:r>
        <w:rPr>
          <w:b/>
        </w:rPr>
        <w:t xml:space="preserve">AND WHEREAS </w:t>
      </w:r>
      <w:r w:rsidR="000F16EC">
        <w:rPr>
          <w:b/>
        </w:rPr>
        <w:t xml:space="preserve">the County </w:t>
      </w:r>
      <w:r w:rsidR="000768E2">
        <w:rPr>
          <w:b/>
        </w:rPr>
        <w:t xml:space="preserve">owns the </w:t>
      </w:r>
      <w:r w:rsidR="0064352D">
        <w:rPr>
          <w:b/>
        </w:rPr>
        <w:t xml:space="preserve">land and </w:t>
      </w:r>
      <w:r w:rsidR="000F16EC">
        <w:rPr>
          <w:b/>
        </w:rPr>
        <w:t xml:space="preserve">no longer requires the </w:t>
      </w:r>
      <w:r w:rsidR="00C4059F">
        <w:rPr>
          <w:b/>
        </w:rPr>
        <w:t>sand/salt storage structure</w:t>
      </w:r>
      <w:r w:rsidR="000F16EC">
        <w:rPr>
          <w:b/>
        </w:rPr>
        <w:t>;</w:t>
      </w:r>
    </w:p>
    <w:p w:rsidR="00CD7943" w:rsidRDefault="00CD7943" w:rsidP="00AC3A8B">
      <w:pPr>
        <w:rPr>
          <w:b/>
        </w:rPr>
      </w:pPr>
      <w:r>
        <w:rPr>
          <w:b/>
        </w:rPr>
        <w:t>NOW THEREFORE BE I</w:t>
      </w:r>
      <w:r w:rsidR="00136F69">
        <w:rPr>
          <w:b/>
        </w:rPr>
        <w:t xml:space="preserve">T RESOLVED THAT </w:t>
      </w:r>
      <w:r w:rsidR="008B47A0">
        <w:rPr>
          <w:b/>
        </w:rPr>
        <w:t xml:space="preserve">Addendum </w:t>
      </w:r>
      <w:proofErr w:type="gramStart"/>
      <w:r w:rsidR="008B47A0">
        <w:rPr>
          <w:b/>
        </w:rPr>
        <w:t>To</w:t>
      </w:r>
      <w:proofErr w:type="gramEnd"/>
      <w:r w:rsidR="008B47A0">
        <w:rPr>
          <w:b/>
        </w:rPr>
        <w:t xml:space="preserve"> </w:t>
      </w:r>
      <w:r w:rsidR="00136F69">
        <w:rPr>
          <w:b/>
        </w:rPr>
        <w:t>Report TR-TAPS-</w:t>
      </w:r>
      <w:r w:rsidR="0064352D">
        <w:rPr>
          <w:b/>
        </w:rPr>
        <w:t xml:space="preserve">04-16 </w:t>
      </w:r>
      <w:r w:rsidR="0093636E">
        <w:rPr>
          <w:b/>
        </w:rPr>
        <w:t xml:space="preserve">regarding the </w:t>
      </w:r>
      <w:r w:rsidR="000F16EC">
        <w:rPr>
          <w:b/>
        </w:rPr>
        <w:t xml:space="preserve">termination of the agreement with the </w:t>
      </w:r>
      <w:r w:rsidR="00606365">
        <w:rPr>
          <w:b/>
        </w:rPr>
        <w:t xml:space="preserve">Municipality of Grey Highlands </w:t>
      </w:r>
      <w:r>
        <w:rPr>
          <w:b/>
        </w:rPr>
        <w:t>be received;</w:t>
      </w:r>
    </w:p>
    <w:p w:rsidR="00070D17" w:rsidRPr="000F7526" w:rsidRDefault="000768E2">
      <w:pPr>
        <w:rPr>
          <w:b/>
        </w:rPr>
      </w:pPr>
      <w:r>
        <w:rPr>
          <w:b/>
        </w:rPr>
        <w:t xml:space="preserve">AND THAT </w:t>
      </w:r>
      <w:r w:rsidR="00352D0D">
        <w:rPr>
          <w:b/>
        </w:rPr>
        <w:t xml:space="preserve">staff be directed to send a letter to the Municipality of Grey Highlands </w:t>
      </w:r>
      <w:r w:rsidR="000C75A1">
        <w:rPr>
          <w:b/>
        </w:rPr>
        <w:t xml:space="preserve">indicating that the County of Grey wishes </w:t>
      </w:r>
      <w:r w:rsidR="00352D0D">
        <w:rPr>
          <w:b/>
        </w:rPr>
        <w:t xml:space="preserve">to </w:t>
      </w:r>
      <w:r w:rsidR="000C75A1">
        <w:rPr>
          <w:b/>
        </w:rPr>
        <w:t xml:space="preserve">enter into negotiations to terminate the existing agreement and negotiate a sale of the property to the Municipality of Grey Highlands.  </w:t>
      </w:r>
    </w:p>
    <w:p w:rsidR="00AC3A8B" w:rsidRDefault="00AC3A8B" w:rsidP="00043275">
      <w:pPr>
        <w:pStyle w:val="Heading2"/>
      </w:pPr>
      <w:r w:rsidRPr="001F570E">
        <w:t>Background</w:t>
      </w:r>
    </w:p>
    <w:p w:rsidR="00B06C98" w:rsidRDefault="00B06C98" w:rsidP="00B06C98">
      <w:r>
        <w:t>On December 17, 2015</w:t>
      </w:r>
      <w:r w:rsidR="000F7526">
        <w:t>, Report TR-TAPS-</w:t>
      </w:r>
      <w:r>
        <w:t>04-16 was presented to the Transportation and Public Safety Committee and the following resolution was passed:</w:t>
      </w:r>
    </w:p>
    <w:p w:rsidR="00B06C98" w:rsidRPr="000F7526" w:rsidRDefault="00B06C98" w:rsidP="000F7526">
      <w:pPr>
        <w:ind w:left="720"/>
        <w:rPr>
          <w:i/>
        </w:rPr>
      </w:pPr>
      <w:r w:rsidRPr="000F7526">
        <w:rPr>
          <w:i/>
        </w:rPr>
        <w:t xml:space="preserve">WHEREAS the Municipality of Grey Highlands and the County of Grey have an agreement regarding the cost sharing of the sand/salt storage structure located at 494140 Grey Road 2, Pt. Lot 15, Concession VIII; RP 17R2721 Pt1, former Township of Osprey, the Municipality of Grey Highlands; </w:t>
      </w:r>
    </w:p>
    <w:p w:rsidR="004621F8" w:rsidRDefault="00B06C98" w:rsidP="004621F8">
      <w:pPr>
        <w:ind w:left="720"/>
        <w:rPr>
          <w:i/>
        </w:rPr>
      </w:pPr>
      <w:r w:rsidRPr="000F7526">
        <w:rPr>
          <w:i/>
        </w:rPr>
        <w:lastRenderedPageBreak/>
        <w:t xml:space="preserve">AND WHEREAS the County owns the land and no longer requires the sand/salt storage structure; </w:t>
      </w:r>
    </w:p>
    <w:p w:rsidR="00B06C98" w:rsidRPr="000F7526" w:rsidRDefault="00B06C98" w:rsidP="000F7526">
      <w:pPr>
        <w:ind w:left="720"/>
        <w:rPr>
          <w:i/>
        </w:rPr>
      </w:pPr>
      <w:r w:rsidRPr="000F7526">
        <w:rPr>
          <w:i/>
        </w:rPr>
        <w:t xml:space="preserve">NOW THEREFORE BE IT RESOLVED THAT Report TR-TAPS-04-16 regarding the termination of the agreement with the Municipality of Grey Highlands and the selling of the structure and associated property </w:t>
      </w:r>
      <w:proofErr w:type="gramStart"/>
      <w:r w:rsidRPr="000F7526">
        <w:rPr>
          <w:i/>
        </w:rPr>
        <w:t>be</w:t>
      </w:r>
      <w:proofErr w:type="gramEnd"/>
      <w:r w:rsidRPr="000F7526">
        <w:rPr>
          <w:i/>
        </w:rPr>
        <w:t xml:space="preserve"> deferred until such time as staff can bring forth a report outlining the details of the proposed transfer, includ</w:t>
      </w:r>
      <w:r w:rsidR="000F7526" w:rsidRPr="000F7526">
        <w:rPr>
          <w:i/>
        </w:rPr>
        <w:t>ing land and structure details.</w:t>
      </w:r>
    </w:p>
    <w:p w:rsidR="00B06C98" w:rsidRDefault="00B06C98" w:rsidP="000768E2">
      <w:r>
        <w:t>At the October 22, 201</w:t>
      </w:r>
      <w:r w:rsidR="001C6410">
        <w:t>5</w:t>
      </w:r>
      <w:bookmarkStart w:id="0" w:name="_GoBack"/>
      <w:bookmarkEnd w:id="0"/>
      <w:r>
        <w:t xml:space="preserve"> Transportation and Public Safety Committee meeting</w:t>
      </w:r>
      <w:r w:rsidR="004621F8">
        <w:t>,</w:t>
      </w:r>
      <w:r>
        <w:t xml:space="preserve"> </w:t>
      </w:r>
      <w:r w:rsidR="00E630F7">
        <w:t>resolutions</w:t>
      </w:r>
      <w:r>
        <w:t xml:space="preserve"> </w:t>
      </w:r>
      <w:r w:rsidR="00E630F7">
        <w:t>were</w:t>
      </w:r>
      <w:r>
        <w:t xml:space="preserve"> passed to transfer sand/salt storage buildings in Chatsworth and Meaford</w:t>
      </w:r>
      <w:r w:rsidR="004621F8">
        <w:t>,</w:t>
      </w:r>
      <w:r>
        <w:t xml:space="preserve"> as well as the Durham </w:t>
      </w:r>
      <w:r w:rsidR="004621F8">
        <w:t>Patrol Y</w:t>
      </w:r>
      <w:r>
        <w:t>ard to the local municipalities for one dollar.</w:t>
      </w:r>
    </w:p>
    <w:p w:rsidR="00B06C98" w:rsidRDefault="00B06C98" w:rsidP="000768E2">
      <w:r>
        <w:t>The following is a summary of the four facilities:</w:t>
      </w:r>
    </w:p>
    <w:tbl>
      <w:tblPr>
        <w:tblW w:w="9506" w:type="dxa"/>
        <w:tblInd w:w="817" w:type="dxa"/>
        <w:tblLook w:val="04A0" w:firstRow="1" w:lastRow="0" w:firstColumn="1" w:lastColumn="0" w:noHBand="0" w:noVBand="1"/>
      </w:tblPr>
      <w:tblGrid>
        <w:gridCol w:w="3365"/>
        <w:gridCol w:w="1683"/>
        <w:gridCol w:w="1403"/>
        <w:gridCol w:w="1443"/>
        <w:gridCol w:w="1612"/>
      </w:tblGrid>
      <w:tr w:rsidR="004F41C2" w:rsidRPr="00CA1862" w:rsidTr="00CA1862">
        <w:trPr>
          <w:trHeight w:val="30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6C98" w:rsidRPr="00CA1862" w:rsidRDefault="000F3B06" w:rsidP="00CA1862">
            <w:pPr>
              <w:spacing w:before="60" w:after="60"/>
              <w:rPr>
                <w:b/>
                <w:sz w:val="22"/>
                <w:szCs w:val="22"/>
                <w:lang w:val="en-CA" w:eastAsia="en-CA"/>
              </w:rPr>
            </w:pPr>
            <w:r w:rsidRPr="00CA1862">
              <w:rPr>
                <w:b/>
                <w:sz w:val="22"/>
                <w:szCs w:val="22"/>
                <w:lang w:val="en-CA" w:eastAsia="en-CA"/>
              </w:rPr>
              <w:t>Location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Chatsworth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Meaford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Durham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proofErr w:type="spellStart"/>
            <w:r w:rsidRPr="00CA1862">
              <w:rPr>
                <w:sz w:val="22"/>
                <w:szCs w:val="22"/>
                <w:lang w:val="en-CA" w:eastAsia="en-CA"/>
              </w:rPr>
              <w:t>Feversham</w:t>
            </w:r>
            <w:proofErr w:type="spellEnd"/>
          </w:p>
        </w:tc>
      </w:tr>
      <w:tr w:rsidR="00CA1862" w:rsidRPr="00CA1862" w:rsidTr="00CA1862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rPr>
                <w:b/>
                <w:sz w:val="22"/>
                <w:szCs w:val="22"/>
                <w:lang w:val="en-CA" w:eastAsia="en-CA"/>
              </w:rPr>
            </w:pPr>
            <w:r w:rsidRPr="00CA1862">
              <w:rPr>
                <w:b/>
                <w:sz w:val="22"/>
                <w:szCs w:val="22"/>
                <w:lang w:val="en-CA" w:eastAsia="en-CA"/>
              </w:rPr>
              <w:t xml:space="preserve">Type of </w:t>
            </w:r>
            <w:r w:rsidR="000F3B06" w:rsidRPr="00CA1862">
              <w:rPr>
                <w:b/>
                <w:sz w:val="22"/>
                <w:szCs w:val="22"/>
                <w:lang w:val="en-CA" w:eastAsia="en-CA"/>
              </w:rPr>
              <w:t>S</w:t>
            </w:r>
            <w:r w:rsidR="00E630F7" w:rsidRPr="00CA1862">
              <w:rPr>
                <w:b/>
                <w:sz w:val="22"/>
                <w:szCs w:val="22"/>
                <w:lang w:val="en-CA" w:eastAsia="en-CA"/>
              </w:rPr>
              <w:t>tructure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9B0C41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Sand/Salt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9B0C41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S</w:t>
            </w:r>
            <w:r w:rsidR="00B06C98" w:rsidRPr="00CA1862">
              <w:rPr>
                <w:sz w:val="22"/>
                <w:szCs w:val="22"/>
                <w:lang w:val="en-CA" w:eastAsia="en-CA"/>
              </w:rPr>
              <w:t>a</w:t>
            </w:r>
            <w:r w:rsidRPr="00CA1862">
              <w:rPr>
                <w:sz w:val="22"/>
                <w:szCs w:val="22"/>
                <w:lang w:val="en-CA" w:eastAsia="en-CA"/>
              </w:rPr>
              <w:t>nd/S</w:t>
            </w:r>
            <w:r w:rsidR="00B06C98" w:rsidRPr="00CA1862">
              <w:rPr>
                <w:sz w:val="22"/>
                <w:szCs w:val="22"/>
                <w:lang w:val="en-CA" w:eastAsia="en-CA"/>
              </w:rPr>
              <w:t>alt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9B0C41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P</w:t>
            </w:r>
            <w:r w:rsidR="00B06C98" w:rsidRPr="00CA1862">
              <w:rPr>
                <w:sz w:val="22"/>
                <w:szCs w:val="22"/>
                <w:lang w:val="en-CA" w:eastAsia="en-CA"/>
              </w:rPr>
              <w:t>atrol</w:t>
            </w:r>
            <w:r w:rsidR="00CA1862" w:rsidRPr="00CA1862">
              <w:rPr>
                <w:sz w:val="22"/>
                <w:szCs w:val="22"/>
                <w:lang w:val="en-CA" w:eastAsia="en-CA"/>
              </w:rPr>
              <w:t xml:space="preserve"> Yard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9B0C41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S</w:t>
            </w:r>
            <w:r w:rsidR="00B06C98" w:rsidRPr="00CA1862">
              <w:rPr>
                <w:sz w:val="22"/>
                <w:szCs w:val="22"/>
                <w:lang w:val="en-CA" w:eastAsia="en-CA"/>
              </w:rPr>
              <w:t>and/</w:t>
            </w:r>
            <w:r w:rsidRPr="00CA1862">
              <w:rPr>
                <w:sz w:val="22"/>
                <w:szCs w:val="22"/>
                <w:lang w:val="en-CA" w:eastAsia="en-CA"/>
              </w:rPr>
              <w:t>S</w:t>
            </w:r>
            <w:r w:rsidR="00B06C98" w:rsidRPr="00CA1862">
              <w:rPr>
                <w:sz w:val="22"/>
                <w:szCs w:val="22"/>
                <w:lang w:val="en-CA" w:eastAsia="en-CA"/>
              </w:rPr>
              <w:t>alt</w:t>
            </w:r>
          </w:p>
        </w:tc>
      </w:tr>
      <w:tr w:rsidR="00CA1862" w:rsidRPr="00CA1862" w:rsidTr="00CA1862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rPr>
                <w:b/>
                <w:iCs/>
                <w:sz w:val="22"/>
                <w:szCs w:val="22"/>
                <w:lang w:val="en-CA" w:eastAsia="en-CA"/>
              </w:rPr>
            </w:pPr>
            <w:r w:rsidRPr="00CA1862">
              <w:rPr>
                <w:b/>
                <w:iCs/>
                <w:sz w:val="22"/>
                <w:szCs w:val="22"/>
                <w:lang w:val="en-CA" w:eastAsia="en-CA"/>
              </w:rPr>
              <w:t>Building Ownership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Chatsworth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Meaford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County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County</w:t>
            </w:r>
          </w:p>
        </w:tc>
      </w:tr>
      <w:tr w:rsidR="00CA1862" w:rsidRPr="00CA1862" w:rsidTr="00CA1862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rPr>
                <w:b/>
                <w:sz w:val="22"/>
                <w:szCs w:val="22"/>
                <w:lang w:val="en-CA" w:eastAsia="en-CA"/>
              </w:rPr>
            </w:pPr>
            <w:r w:rsidRPr="00CA1862">
              <w:rPr>
                <w:b/>
                <w:sz w:val="22"/>
                <w:szCs w:val="22"/>
                <w:lang w:val="en-CA" w:eastAsia="en-CA"/>
              </w:rPr>
              <w:t>Land Ownership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Chatsworth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Meaford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County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County</w:t>
            </w:r>
          </w:p>
        </w:tc>
      </w:tr>
      <w:tr w:rsidR="00CA1862" w:rsidRPr="00CA1862" w:rsidTr="00CA1862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rPr>
                <w:b/>
                <w:sz w:val="22"/>
                <w:szCs w:val="22"/>
                <w:lang w:val="en-CA" w:eastAsia="en-CA"/>
              </w:rPr>
            </w:pPr>
            <w:r w:rsidRPr="00CA1862">
              <w:rPr>
                <w:b/>
                <w:sz w:val="22"/>
                <w:szCs w:val="22"/>
                <w:lang w:val="en-CA" w:eastAsia="en-CA"/>
              </w:rPr>
              <w:t>Municipal Percent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4F41C2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None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45</w:t>
            </w:r>
          </w:p>
        </w:tc>
      </w:tr>
      <w:tr w:rsidR="00CA1862" w:rsidRPr="00CA1862" w:rsidTr="00CA1862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6C98" w:rsidRPr="00CA1862" w:rsidRDefault="009B0C41" w:rsidP="00CA1862">
            <w:pPr>
              <w:spacing w:before="60" w:after="60"/>
              <w:rPr>
                <w:b/>
                <w:sz w:val="22"/>
                <w:szCs w:val="22"/>
                <w:lang w:val="en-CA" w:eastAsia="en-CA"/>
              </w:rPr>
            </w:pPr>
            <w:r w:rsidRPr="00CA1862">
              <w:rPr>
                <w:b/>
                <w:sz w:val="22"/>
                <w:szCs w:val="22"/>
                <w:lang w:val="en-CA" w:eastAsia="en-CA"/>
              </w:rPr>
              <w:t>Work Last Five</w:t>
            </w:r>
            <w:r w:rsidR="00B06C98" w:rsidRPr="00CA1862">
              <w:rPr>
                <w:b/>
                <w:sz w:val="22"/>
                <w:szCs w:val="22"/>
                <w:lang w:val="en-CA" w:eastAsia="en-CA"/>
              </w:rPr>
              <w:t xml:space="preserve"> years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4F41C2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None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4F41C2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None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4F41C2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None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4F41C2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$</w:t>
            </w:r>
            <w:r w:rsidR="00B06C98" w:rsidRPr="00CA1862">
              <w:rPr>
                <w:sz w:val="22"/>
                <w:szCs w:val="22"/>
                <w:lang w:val="en-CA" w:eastAsia="en-CA"/>
              </w:rPr>
              <w:t>145,000</w:t>
            </w:r>
          </w:p>
        </w:tc>
      </w:tr>
      <w:tr w:rsidR="00CA1862" w:rsidRPr="00CA1862" w:rsidTr="00CA1862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rPr>
                <w:b/>
                <w:sz w:val="22"/>
                <w:szCs w:val="22"/>
                <w:lang w:val="en-CA" w:eastAsia="en-CA"/>
              </w:rPr>
            </w:pPr>
            <w:r w:rsidRPr="00CA1862">
              <w:rPr>
                <w:b/>
                <w:sz w:val="22"/>
                <w:szCs w:val="22"/>
                <w:lang w:val="en-CA" w:eastAsia="en-CA"/>
              </w:rPr>
              <w:t xml:space="preserve">Work Next </w:t>
            </w:r>
            <w:r w:rsidR="009B0C41" w:rsidRPr="00CA1862">
              <w:rPr>
                <w:b/>
                <w:sz w:val="22"/>
                <w:szCs w:val="22"/>
                <w:lang w:val="en-CA" w:eastAsia="en-CA"/>
              </w:rPr>
              <w:t>Five</w:t>
            </w:r>
            <w:r w:rsidRPr="00CA1862">
              <w:rPr>
                <w:b/>
                <w:sz w:val="22"/>
                <w:szCs w:val="22"/>
                <w:lang w:val="en-CA" w:eastAsia="en-CA"/>
              </w:rPr>
              <w:t xml:space="preserve"> years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1B0932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Y</w:t>
            </w:r>
            <w:r w:rsidR="00B06C98" w:rsidRPr="00CA1862">
              <w:rPr>
                <w:sz w:val="22"/>
                <w:szCs w:val="22"/>
                <w:lang w:val="en-CA" w:eastAsia="en-CA"/>
              </w:rPr>
              <w:t>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4F41C2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None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4F41C2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None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4F41C2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None</w:t>
            </w:r>
          </w:p>
        </w:tc>
      </w:tr>
      <w:tr w:rsidR="00CA1862" w:rsidRPr="00CA1862" w:rsidTr="00CA1862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rPr>
                <w:b/>
                <w:sz w:val="22"/>
                <w:szCs w:val="22"/>
                <w:lang w:val="en-CA" w:eastAsia="en-CA"/>
              </w:rPr>
            </w:pPr>
            <w:r w:rsidRPr="00CA1862">
              <w:rPr>
                <w:b/>
                <w:sz w:val="22"/>
                <w:szCs w:val="22"/>
                <w:lang w:val="en-CA" w:eastAsia="en-CA"/>
              </w:rPr>
              <w:t xml:space="preserve">Months to </w:t>
            </w:r>
            <w:r w:rsidR="009B0C41" w:rsidRPr="00CA1862">
              <w:rPr>
                <w:b/>
                <w:sz w:val="22"/>
                <w:szCs w:val="22"/>
                <w:lang w:val="en-CA" w:eastAsia="en-CA"/>
              </w:rPr>
              <w:t>T</w:t>
            </w:r>
            <w:r w:rsidRPr="00CA1862">
              <w:rPr>
                <w:b/>
                <w:sz w:val="22"/>
                <w:szCs w:val="22"/>
                <w:lang w:val="en-CA" w:eastAsia="en-CA"/>
              </w:rPr>
              <w:t>erminate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5929E9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4F41C2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None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98" w:rsidRPr="00CA1862" w:rsidRDefault="00B06C98" w:rsidP="00CA186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36</w:t>
            </w:r>
          </w:p>
        </w:tc>
      </w:tr>
      <w:tr w:rsidR="00CA1862" w:rsidRPr="00CA1862" w:rsidTr="004F41C2">
        <w:trPr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6C98" w:rsidRPr="00CA1862" w:rsidRDefault="00B06C98" w:rsidP="004F41C2">
            <w:pPr>
              <w:spacing w:before="60" w:after="60"/>
              <w:rPr>
                <w:b/>
                <w:sz w:val="22"/>
                <w:szCs w:val="22"/>
                <w:lang w:val="en-CA" w:eastAsia="en-CA"/>
              </w:rPr>
            </w:pPr>
            <w:r w:rsidRPr="00CA1862">
              <w:rPr>
                <w:b/>
                <w:sz w:val="22"/>
                <w:szCs w:val="22"/>
                <w:lang w:val="en-CA" w:eastAsia="en-CA"/>
              </w:rPr>
              <w:t xml:space="preserve">Ownership </w:t>
            </w:r>
            <w:r w:rsidR="009B0C41" w:rsidRPr="00CA1862">
              <w:rPr>
                <w:b/>
                <w:sz w:val="22"/>
                <w:szCs w:val="22"/>
                <w:lang w:val="en-CA" w:eastAsia="en-CA"/>
              </w:rPr>
              <w:t>A</w:t>
            </w:r>
            <w:r w:rsidRPr="00CA1862">
              <w:rPr>
                <w:b/>
                <w:sz w:val="22"/>
                <w:szCs w:val="22"/>
                <w:lang w:val="en-CA" w:eastAsia="en-CA"/>
              </w:rPr>
              <w:t xml:space="preserve">fter </w:t>
            </w:r>
            <w:r w:rsidR="004F41C2">
              <w:rPr>
                <w:b/>
                <w:sz w:val="22"/>
                <w:szCs w:val="22"/>
                <w:lang w:val="en-CA" w:eastAsia="en-CA"/>
              </w:rPr>
              <w:t>Termination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98" w:rsidRPr="00CA1862" w:rsidRDefault="00B06C98" w:rsidP="004F41C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Chatsworth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98" w:rsidRPr="00CA1862" w:rsidRDefault="00B06C98" w:rsidP="004F41C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Meaford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98" w:rsidRPr="00CA1862" w:rsidRDefault="004F41C2" w:rsidP="004F41C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West Grey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98" w:rsidRPr="00CA1862" w:rsidRDefault="00B06C98" w:rsidP="004F41C2">
            <w:pPr>
              <w:spacing w:before="60" w:after="60"/>
              <w:jc w:val="center"/>
              <w:rPr>
                <w:sz w:val="22"/>
                <w:szCs w:val="22"/>
                <w:lang w:val="en-CA" w:eastAsia="en-CA"/>
              </w:rPr>
            </w:pPr>
            <w:r w:rsidRPr="00CA1862">
              <w:rPr>
                <w:sz w:val="22"/>
                <w:szCs w:val="22"/>
                <w:lang w:val="en-CA" w:eastAsia="en-CA"/>
              </w:rPr>
              <w:t>County</w:t>
            </w:r>
          </w:p>
        </w:tc>
      </w:tr>
    </w:tbl>
    <w:p w:rsidR="00B06C98" w:rsidRDefault="00B06C98" w:rsidP="000F3B06">
      <w:pPr>
        <w:spacing w:before="240" w:after="120"/>
        <w:rPr>
          <w:lang w:val="en-CA"/>
        </w:rPr>
      </w:pPr>
      <w:r>
        <w:rPr>
          <w:lang w:val="en-CA"/>
        </w:rPr>
        <w:t xml:space="preserve">The following </w:t>
      </w:r>
      <w:r w:rsidR="004621F8">
        <w:rPr>
          <w:lang w:val="en-CA"/>
        </w:rPr>
        <w:t>provides</w:t>
      </w:r>
      <w:r>
        <w:rPr>
          <w:lang w:val="en-CA"/>
        </w:rPr>
        <w:t xml:space="preserve"> additional information </w:t>
      </w:r>
      <w:r w:rsidR="00E630F7">
        <w:rPr>
          <w:lang w:val="en-CA"/>
        </w:rPr>
        <w:t>regarding these facilities:</w:t>
      </w:r>
    </w:p>
    <w:p w:rsidR="00E630F7" w:rsidRPr="00522D60" w:rsidRDefault="00522D60" w:rsidP="000F3B06">
      <w:pPr>
        <w:pStyle w:val="ListParagraph"/>
        <w:numPr>
          <w:ilvl w:val="0"/>
          <w:numId w:val="4"/>
        </w:numPr>
        <w:spacing w:after="120"/>
        <w:ind w:left="1134" w:hanging="567"/>
        <w:contextualSpacing w:val="0"/>
        <w:rPr>
          <w:lang w:val="en-CA"/>
        </w:rPr>
      </w:pPr>
      <w:r w:rsidRPr="00522D60">
        <w:rPr>
          <w:lang w:val="en-CA"/>
        </w:rPr>
        <w:t xml:space="preserve">The </w:t>
      </w:r>
      <w:r w:rsidR="00E630F7" w:rsidRPr="00522D60">
        <w:rPr>
          <w:lang w:val="en-CA"/>
        </w:rPr>
        <w:t xml:space="preserve">Durham </w:t>
      </w:r>
      <w:r w:rsidR="000F3B06">
        <w:rPr>
          <w:lang w:val="en-CA"/>
        </w:rPr>
        <w:t>P</w:t>
      </w:r>
      <w:r w:rsidR="001B0932">
        <w:rPr>
          <w:lang w:val="en-CA"/>
        </w:rPr>
        <w:t>atrol Yard</w:t>
      </w:r>
      <w:r w:rsidRPr="00522D60">
        <w:rPr>
          <w:lang w:val="en-CA"/>
        </w:rPr>
        <w:t xml:space="preserve"> has</w:t>
      </w:r>
      <w:r w:rsidR="00E630F7" w:rsidRPr="00522D60">
        <w:rPr>
          <w:lang w:val="en-CA"/>
        </w:rPr>
        <w:t xml:space="preserve"> </w:t>
      </w:r>
      <w:r w:rsidRPr="00522D60">
        <w:rPr>
          <w:lang w:val="en-CA"/>
        </w:rPr>
        <w:t>environmental issues that limit</w:t>
      </w:r>
      <w:r w:rsidR="00E630F7" w:rsidRPr="00522D60">
        <w:rPr>
          <w:lang w:val="en-CA"/>
        </w:rPr>
        <w:t xml:space="preserve"> available buyers.</w:t>
      </w:r>
    </w:p>
    <w:p w:rsidR="00E630F7" w:rsidRPr="00522D60" w:rsidRDefault="00E630F7" w:rsidP="000F3B06">
      <w:pPr>
        <w:pStyle w:val="ListParagraph"/>
        <w:numPr>
          <w:ilvl w:val="0"/>
          <w:numId w:val="4"/>
        </w:numPr>
        <w:spacing w:after="120"/>
        <w:ind w:left="1134" w:hanging="567"/>
        <w:contextualSpacing w:val="0"/>
        <w:rPr>
          <w:lang w:val="en-CA"/>
        </w:rPr>
      </w:pPr>
      <w:r w:rsidRPr="00522D60">
        <w:rPr>
          <w:lang w:val="en-CA"/>
        </w:rPr>
        <w:t xml:space="preserve">The Chatsworth </w:t>
      </w:r>
      <w:r w:rsidR="000F3B06">
        <w:rPr>
          <w:lang w:val="en-CA"/>
        </w:rPr>
        <w:t>s</w:t>
      </w:r>
      <w:r w:rsidRPr="00522D60">
        <w:rPr>
          <w:lang w:val="en-CA"/>
        </w:rPr>
        <w:t>and/</w:t>
      </w:r>
      <w:r w:rsidR="000F3B06">
        <w:rPr>
          <w:lang w:val="en-CA"/>
        </w:rPr>
        <w:t>s</w:t>
      </w:r>
      <w:r w:rsidRPr="00522D60">
        <w:rPr>
          <w:lang w:val="en-CA"/>
        </w:rPr>
        <w:t xml:space="preserve">alt </w:t>
      </w:r>
      <w:r w:rsidR="000F3B06">
        <w:rPr>
          <w:lang w:val="en-CA"/>
        </w:rPr>
        <w:t xml:space="preserve">storage </w:t>
      </w:r>
      <w:r w:rsidRPr="00522D60">
        <w:rPr>
          <w:lang w:val="en-CA"/>
        </w:rPr>
        <w:t>facility is expected to require work within the next five years</w:t>
      </w:r>
      <w:r w:rsidR="000F3B06">
        <w:rPr>
          <w:lang w:val="en-CA"/>
        </w:rPr>
        <w:t>.</w:t>
      </w:r>
    </w:p>
    <w:p w:rsidR="00E630F7" w:rsidRDefault="00E630F7" w:rsidP="000F3B06">
      <w:pPr>
        <w:pStyle w:val="ListParagraph"/>
        <w:numPr>
          <w:ilvl w:val="0"/>
          <w:numId w:val="4"/>
        </w:numPr>
        <w:spacing w:after="120"/>
        <w:ind w:left="1134" w:hanging="567"/>
        <w:contextualSpacing w:val="0"/>
        <w:rPr>
          <w:lang w:val="en-CA"/>
        </w:rPr>
      </w:pPr>
      <w:r w:rsidRPr="00522D60">
        <w:rPr>
          <w:lang w:val="en-CA"/>
        </w:rPr>
        <w:t xml:space="preserve">When the tarp was destroyed on the </w:t>
      </w:r>
      <w:proofErr w:type="spellStart"/>
      <w:r w:rsidRPr="00522D60">
        <w:rPr>
          <w:lang w:val="en-CA"/>
        </w:rPr>
        <w:t>Feversham</w:t>
      </w:r>
      <w:proofErr w:type="spellEnd"/>
      <w:r w:rsidRPr="00522D60">
        <w:rPr>
          <w:lang w:val="en-CA"/>
        </w:rPr>
        <w:t xml:space="preserve"> sand/salt storage facility </w:t>
      </w:r>
      <w:r w:rsidR="00352D0D" w:rsidRPr="00522D60">
        <w:rPr>
          <w:lang w:val="en-CA"/>
        </w:rPr>
        <w:t>in 2013</w:t>
      </w:r>
      <w:r w:rsidR="000F3B06">
        <w:rPr>
          <w:lang w:val="en-CA"/>
        </w:rPr>
        <w:t>,</w:t>
      </w:r>
      <w:r w:rsidR="00352D0D" w:rsidRPr="00522D60">
        <w:rPr>
          <w:lang w:val="en-CA"/>
        </w:rPr>
        <w:t xml:space="preserve"> </w:t>
      </w:r>
      <w:r w:rsidRPr="00522D60">
        <w:rPr>
          <w:lang w:val="en-CA"/>
        </w:rPr>
        <w:t>the Municipality of Grey Highlands requested the replacement under Grey County’s insurance.</w:t>
      </w:r>
      <w:r w:rsidR="000F3B06">
        <w:rPr>
          <w:lang w:val="en-CA"/>
        </w:rPr>
        <w:t xml:space="preserve"> </w:t>
      </w:r>
      <w:r w:rsidR="00352D0D" w:rsidRPr="00522D60">
        <w:rPr>
          <w:lang w:val="en-CA"/>
        </w:rPr>
        <w:t xml:space="preserve"> The cost of the tarp was $143,824.14 and insurance </w:t>
      </w:r>
      <w:r w:rsidR="000F3B06">
        <w:rPr>
          <w:lang w:val="en-CA"/>
        </w:rPr>
        <w:t>covered</w:t>
      </w:r>
      <w:r w:rsidR="00352D0D" w:rsidRPr="00522D60">
        <w:rPr>
          <w:lang w:val="en-CA"/>
        </w:rPr>
        <w:t xml:space="preserve"> </w:t>
      </w:r>
      <w:r w:rsidR="00522D60" w:rsidRPr="00522D60">
        <w:rPr>
          <w:lang w:val="en-CA"/>
        </w:rPr>
        <w:t>$</w:t>
      </w:r>
      <w:r w:rsidR="00352D0D" w:rsidRPr="00522D60">
        <w:rPr>
          <w:lang w:val="en-CA"/>
        </w:rPr>
        <w:t>133,824.14</w:t>
      </w:r>
      <w:r w:rsidR="000F3B06">
        <w:rPr>
          <w:lang w:val="en-CA"/>
        </w:rPr>
        <w:t xml:space="preserve"> of the total cost</w:t>
      </w:r>
      <w:r w:rsidR="00352D0D" w:rsidRPr="00522D60">
        <w:rPr>
          <w:lang w:val="en-CA"/>
        </w:rPr>
        <w:t>.</w:t>
      </w:r>
    </w:p>
    <w:p w:rsidR="00E72157" w:rsidRPr="00522D60" w:rsidRDefault="00E72157" w:rsidP="000F3B06">
      <w:pPr>
        <w:pStyle w:val="ListParagraph"/>
        <w:numPr>
          <w:ilvl w:val="0"/>
          <w:numId w:val="4"/>
        </w:numPr>
        <w:spacing w:after="120"/>
        <w:ind w:left="1134" w:hanging="567"/>
        <w:contextualSpacing w:val="0"/>
        <w:rPr>
          <w:lang w:val="en-CA"/>
        </w:rPr>
      </w:pPr>
      <w:r>
        <w:rPr>
          <w:lang w:val="en-CA"/>
        </w:rPr>
        <w:t>A Real Estate Appraiser and Consultant estimated the value of the land, without the structure, to be $60,000.</w:t>
      </w:r>
    </w:p>
    <w:p w:rsidR="00E630F7" w:rsidRPr="00522D60" w:rsidRDefault="00E630F7" w:rsidP="000F3B06">
      <w:pPr>
        <w:pStyle w:val="ListParagraph"/>
        <w:numPr>
          <w:ilvl w:val="0"/>
          <w:numId w:val="4"/>
        </w:numPr>
        <w:spacing w:after="120"/>
        <w:ind w:left="1134" w:hanging="567"/>
        <w:contextualSpacing w:val="0"/>
        <w:rPr>
          <w:lang w:val="en-CA"/>
        </w:rPr>
      </w:pPr>
      <w:r w:rsidRPr="00522D60">
        <w:rPr>
          <w:lang w:val="en-CA"/>
        </w:rPr>
        <w:t xml:space="preserve">The Municipality of the Grey Highlands wishes the County to transfer the </w:t>
      </w:r>
      <w:proofErr w:type="spellStart"/>
      <w:r w:rsidRPr="00522D60">
        <w:rPr>
          <w:lang w:val="en-CA"/>
        </w:rPr>
        <w:t>Feversham</w:t>
      </w:r>
      <w:proofErr w:type="spellEnd"/>
      <w:r w:rsidRPr="00522D60">
        <w:rPr>
          <w:lang w:val="en-CA"/>
        </w:rPr>
        <w:t xml:space="preserve"> </w:t>
      </w:r>
      <w:r w:rsidR="000F3B06">
        <w:rPr>
          <w:lang w:val="en-CA"/>
        </w:rPr>
        <w:t xml:space="preserve">sand/salt storage </w:t>
      </w:r>
      <w:r w:rsidRPr="00522D60">
        <w:rPr>
          <w:lang w:val="en-CA"/>
        </w:rPr>
        <w:t xml:space="preserve">facility to </w:t>
      </w:r>
      <w:r w:rsidR="000F3B06">
        <w:rPr>
          <w:lang w:val="en-CA"/>
        </w:rPr>
        <w:t>them</w:t>
      </w:r>
      <w:r w:rsidRPr="00522D60">
        <w:rPr>
          <w:lang w:val="en-CA"/>
        </w:rPr>
        <w:t xml:space="preserve"> for one dollar.</w:t>
      </w:r>
    </w:p>
    <w:p w:rsidR="00AC3A8B" w:rsidRPr="00285F30" w:rsidRDefault="00AC3A8B" w:rsidP="00AC3A8B">
      <w:pPr>
        <w:pStyle w:val="Heading2"/>
      </w:pPr>
      <w:r w:rsidRPr="00B0378D">
        <w:lastRenderedPageBreak/>
        <w:t>Financial / Staffing / Legal / Information Technology Considerations</w:t>
      </w:r>
    </w:p>
    <w:p w:rsidR="00801A86" w:rsidRDefault="000768E2" w:rsidP="00070D17">
      <w:proofErr w:type="gramStart"/>
      <w:r>
        <w:t>None at this time.</w:t>
      </w:r>
      <w:proofErr w:type="gramEnd"/>
    </w:p>
    <w:p w:rsidR="00AC3A8B" w:rsidRPr="00B218C3" w:rsidRDefault="00AC3A8B" w:rsidP="00136F69">
      <w:pPr>
        <w:pStyle w:val="Heading2"/>
      </w:pPr>
      <w:r w:rsidRPr="00B218C3">
        <w:t>Link to Strategic Goals / Priorities</w:t>
      </w:r>
    </w:p>
    <w:p w:rsidR="00836721" w:rsidRDefault="000176B0" w:rsidP="00AC3A8B">
      <w:r>
        <w:t>4.7 Working cooperatively with our neighbors on issues</w:t>
      </w:r>
      <w:r w:rsidR="0058747D">
        <w:t xml:space="preserve"> </w:t>
      </w:r>
      <w:r>
        <w:t>of mutual inter</w:t>
      </w:r>
      <w:r w:rsidR="0058747D">
        <w:t>e</w:t>
      </w:r>
      <w:r>
        <w:t>st, in support of advancing collective aspirations</w:t>
      </w:r>
      <w:r w:rsidR="00285F30">
        <w:t>.</w:t>
      </w:r>
    </w:p>
    <w:p w:rsidR="00687214" w:rsidRDefault="00687214" w:rsidP="00687214">
      <w:pPr>
        <w:pStyle w:val="Heading2"/>
      </w:pPr>
      <w:r>
        <w:t>Attachments</w:t>
      </w:r>
    </w:p>
    <w:p w:rsidR="007D5DD5" w:rsidRDefault="001C6410" w:rsidP="00070D17">
      <w:pPr>
        <w:spacing w:line="240" w:lineRule="auto"/>
      </w:pPr>
      <w:hyperlink r:id="rId10" w:tooltip="&#10;TR-TAPS-75-15 Termination of Township of Chatsworth Sand/Salt Storage Structure Agreement" w:history="1">
        <w:r w:rsidR="00CA1862">
          <w:rPr>
            <w:rStyle w:val="Hyperlink"/>
          </w:rPr>
          <w:t>TR-TAPS-75-15 Termination of Township of Chatsworth Sand/Salt Storage Structure Agreement</w:t>
        </w:r>
      </w:hyperlink>
      <w:hyperlink r:id="rId11" w:tooltip="&#10;TR-TAPS-76-15  Termination of Municipality of Meaford Sand/Salt Storage Structure Agreement" w:history="1">
        <w:r w:rsidR="00CA1862">
          <w:rPr>
            <w:rStyle w:val="Hyperlink"/>
          </w:rPr>
          <w:br/>
          <w:t>TR-TAPS-76-15 Termination of Municipality of Meaford Sand/Salt Storage Structure Agreement</w:t>
        </w:r>
      </w:hyperlink>
      <w:r w:rsidR="004F41C2">
        <w:br/>
      </w:r>
      <w:hyperlink r:id="rId12" w:tooltip="TR-TAPS-04-16 Termination of Municipality of Grey Highlands Sand-Salt Storage Structure Agreement" w:history="1">
        <w:r w:rsidR="004F41C2">
          <w:rPr>
            <w:rStyle w:val="Hyperlink"/>
          </w:rPr>
          <w:t>TR-TAPS-04-16 Termination of Municipality of Grey Highlands Sand-Salt Storage Structure Agreement</w:t>
        </w:r>
      </w:hyperlink>
    </w:p>
    <w:p w:rsidR="00AC3A8B" w:rsidRPr="00B0378D" w:rsidRDefault="00AC3A8B" w:rsidP="00AC3A8B">
      <w:r w:rsidRPr="00B0378D">
        <w:t>Respectfully submitted by,</w:t>
      </w:r>
    </w:p>
    <w:p w:rsidR="00F751A5" w:rsidRDefault="001405B5" w:rsidP="00F751A5">
      <w:pPr>
        <w:spacing w:after="0"/>
      </w:pPr>
      <w:r>
        <w:t>M.J. Kelly</w:t>
      </w:r>
    </w:p>
    <w:p w:rsidR="00AB3447" w:rsidRDefault="00B75B58" w:rsidP="000D0072">
      <w:pPr>
        <w:spacing w:after="0"/>
      </w:pPr>
      <w:r>
        <w:t xml:space="preserve">Director of </w:t>
      </w:r>
      <w:r w:rsidR="00285F30">
        <w:t>Transportation Services</w:t>
      </w:r>
    </w:p>
    <w:sectPr w:rsidR="00AB3447" w:rsidSect="000D0072">
      <w:footerReference w:type="default" r:id="rId13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54" w:rsidRDefault="00363354" w:rsidP="00883D8D">
      <w:pPr>
        <w:spacing w:after="0" w:line="240" w:lineRule="auto"/>
      </w:pPr>
      <w:r>
        <w:separator/>
      </w:r>
    </w:p>
  </w:endnote>
  <w:endnote w:type="continuationSeparator" w:id="0">
    <w:p w:rsidR="00363354" w:rsidRDefault="00363354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26" w:rsidRPr="00AC3A8B" w:rsidRDefault="008B47A0" w:rsidP="00AC3A8B">
    <w:pPr>
      <w:pStyle w:val="Footer"/>
      <w:rPr>
        <w:sz w:val="22"/>
        <w:szCs w:val="22"/>
      </w:rPr>
    </w:pPr>
    <w:r>
      <w:rPr>
        <w:sz w:val="22"/>
        <w:szCs w:val="22"/>
      </w:rPr>
      <w:t xml:space="preserve">Addendum To </w:t>
    </w:r>
    <w:r w:rsidR="00C00711">
      <w:rPr>
        <w:sz w:val="22"/>
        <w:szCs w:val="22"/>
      </w:rPr>
      <w:t>TR-TAPS-</w:t>
    </w:r>
    <w:r w:rsidR="00DA0438">
      <w:rPr>
        <w:sz w:val="22"/>
        <w:szCs w:val="22"/>
      </w:rPr>
      <w:t>04-16</w:t>
    </w:r>
    <w:r w:rsidR="00261926" w:rsidRPr="00FB686F">
      <w:rPr>
        <w:sz w:val="22"/>
        <w:szCs w:val="22"/>
      </w:rPr>
      <w:ptab w:relativeTo="margin" w:alignment="center" w:leader="none"/>
    </w:r>
    <w:r w:rsidR="00261926" w:rsidRPr="00FB686F">
      <w:rPr>
        <w:sz w:val="22"/>
        <w:szCs w:val="22"/>
      </w:rPr>
      <w:fldChar w:fldCharType="begin"/>
    </w:r>
    <w:r w:rsidR="00261926" w:rsidRPr="00FB686F">
      <w:rPr>
        <w:sz w:val="22"/>
        <w:szCs w:val="22"/>
      </w:rPr>
      <w:instrText xml:space="preserve"> PAGE   \* MERGEFORMAT </w:instrText>
    </w:r>
    <w:r w:rsidR="00261926" w:rsidRPr="00FB686F">
      <w:rPr>
        <w:sz w:val="22"/>
        <w:szCs w:val="22"/>
      </w:rPr>
      <w:fldChar w:fldCharType="separate"/>
    </w:r>
    <w:r w:rsidR="001C6410">
      <w:rPr>
        <w:noProof/>
        <w:sz w:val="22"/>
        <w:szCs w:val="22"/>
      </w:rPr>
      <w:t>2</w:t>
    </w:r>
    <w:r w:rsidR="00261926" w:rsidRPr="00FB686F">
      <w:rPr>
        <w:noProof/>
        <w:sz w:val="22"/>
        <w:szCs w:val="22"/>
      </w:rPr>
      <w:fldChar w:fldCharType="end"/>
    </w:r>
    <w:r w:rsidR="00261926" w:rsidRPr="00FB686F">
      <w:rPr>
        <w:sz w:val="22"/>
        <w:szCs w:val="22"/>
      </w:rPr>
      <w:ptab w:relativeTo="margin" w:alignment="right" w:leader="none"/>
    </w:r>
    <w:r w:rsidR="005929E9">
      <w:rPr>
        <w:sz w:val="22"/>
        <w:szCs w:val="22"/>
      </w:rPr>
      <w:t>February 18,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54" w:rsidRDefault="00363354" w:rsidP="00883D8D">
      <w:pPr>
        <w:spacing w:after="0" w:line="240" w:lineRule="auto"/>
      </w:pPr>
      <w:r>
        <w:separator/>
      </w:r>
    </w:p>
  </w:footnote>
  <w:footnote w:type="continuationSeparator" w:id="0">
    <w:p w:rsidR="00363354" w:rsidRDefault="00363354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687"/>
    <w:multiLevelType w:val="hybridMultilevel"/>
    <w:tmpl w:val="0F34A8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6289"/>
    <w:multiLevelType w:val="hybridMultilevel"/>
    <w:tmpl w:val="CEF89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19CB"/>
    <w:multiLevelType w:val="hybridMultilevel"/>
    <w:tmpl w:val="3460A6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84706"/>
    <w:multiLevelType w:val="hybridMultilevel"/>
    <w:tmpl w:val="14DC7F2E"/>
    <w:lvl w:ilvl="0" w:tplc="CAA01BA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1DF8"/>
    <w:rsid w:val="00002428"/>
    <w:rsid w:val="000056AA"/>
    <w:rsid w:val="000135BA"/>
    <w:rsid w:val="000176B0"/>
    <w:rsid w:val="00021281"/>
    <w:rsid w:val="0002530F"/>
    <w:rsid w:val="000428A2"/>
    <w:rsid w:val="00043275"/>
    <w:rsid w:val="00047A0A"/>
    <w:rsid w:val="00054953"/>
    <w:rsid w:val="00070D17"/>
    <w:rsid w:val="00073522"/>
    <w:rsid w:val="000768E2"/>
    <w:rsid w:val="00081FCF"/>
    <w:rsid w:val="000B2A86"/>
    <w:rsid w:val="000B7C11"/>
    <w:rsid w:val="000C75A1"/>
    <w:rsid w:val="000D0072"/>
    <w:rsid w:val="000D6500"/>
    <w:rsid w:val="000F16EC"/>
    <w:rsid w:val="000F3B06"/>
    <w:rsid w:val="000F6710"/>
    <w:rsid w:val="000F7526"/>
    <w:rsid w:val="00113FCB"/>
    <w:rsid w:val="001220F6"/>
    <w:rsid w:val="00136F69"/>
    <w:rsid w:val="001405B5"/>
    <w:rsid w:val="00144824"/>
    <w:rsid w:val="00174618"/>
    <w:rsid w:val="001A1659"/>
    <w:rsid w:val="001A59C2"/>
    <w:rsid w:val="001B0932"/>
    <w:rsid w:val="001B76FA"/>
    <w:rsid w:val="001C58A1"/>
    <w:rsid w:val="001C6410"/>
    <w:rsid w:val="001F1D7C"/>
    <w:rsid w:val="001F5120"/>
    <w:rsid w:val="001F570E"/>
    <w:rsid w:val="002236C7"/>
    <w:rsid w:val="002371F1"/>
    <w:rsid w:val="00247CA8"/>
    <w:rsid w:val="00260BFD"/>
    <w:rsid w:val="00261926"/>
    <w:rsid w:val="002648C2"/>
    <w:rsid w:val="00285F30"/>
    <w:rsid w:val="002915BC"/>
    <w:rsid w:val="00291760"/>
    <w:rsid w:val="002A66B4"/>
    <w:rsid w:val="002A778E"/>
    <w:rsid w:val="002B0F2E"/>
    <w:rsid w:val="002B6D9E"/>
    <w:rsid w:val="002C6064"/>
    <w:rsid w:val="002D3011"/>
    <w:rsid w:val="002F098D"/>
    <w:rsid w:val="003062A4"/>
    <w:rsid w:val="00325B3D"/>
    <w:rsid w:val="00352D0D"/>
    <w:rsid w:val="00363354"/>
    <w:rsid w:val="003633A4"/>
    <w:rsid w:val="0037380B"/>
    <w:rsid w:val="0038061D"/>
    <w:rsid w:val="003D1136"/>
    <w:rsid w:val="003D39C0"/>
    <w:rsid w:val="003E456B"/>
    <w:rsid w:val="003E5D2C"/>
    <w:rsid w:val="003F47EE"/>
    <w:rsid w:val="003F4954"/>
    <w:rsid w:val="0040378E"/>
    <w:rsid w:val="004051E1"/>
    <w:rsid w:val="00407AE8"/>
    <w:rsid w:val="00414593"/>
    <w:rsid w:val="004212B5"/>
    <w:rsid w:val="00425A3E"/>
    <w:rsid w:val="00446A72"/>
    <w:rsid w:val="00457F2B"/>
    <w:rsid w:val="004621F8"/>
    <w:rsid w:val="00464176"/>
    <w:rsid w:val="00466541"/>
    <w:rsid w:val="00471FC8"/>
    <w:rsid w:val="004942B7"/>
    <w:rsid w:val="004E69CC"/>
    <w:rsid w:val="004F083D"/>
    <w:rsid w:val="004F41C2"/>
    <w:rsid w:val="00515A7F"/>
    <w:rsid w:val="00522A11"/>
    <w:rsid w:val="00522D60"/>
    <w:rsid w:val="00531B21"/>
    <w:rsid w:val="00537B52"/>
    <w:rsid w:val="00542251"/>
    <w:rsid w:val="00544D06"/>
    <w:rsid w:val="00551395"/>
    <w:rsid w:val="005539F7"/>
    <w:rsid w:val="00583946"/>
    <w:rsid w:val="0058747D"/>
    <w:rsid w:val="005907C8"/>
    <w:rsid w:val="00590B16"/>
    <w:rsid w:val="005929E9"/>
    <w:rsid w:val="005A360A"/>
    <w:rsid w:val="005D64FA"/>
    <w:rsid w:val="005D672C"/>
    <w:rsid w:val="005E5FBE"/>
    <w:rsid w:val="005F5D88"/>
    <w:rsid w:val="00606365"/>
    <w:rsid w:val="00606A27"/>
    <w:rsid w:val="006141CE"/>
    <w:rsid w:val="00621DCE"/>
    <w:rsid w:val="00625C9E"/>
    <w:rsid w:val="00641E85"/>
    <w:rsid w:val="0064352D"/>
    <w:rsid w:val="00645B62"/>
    <w:rsid w:val="00651D19"/>
    <w:rsid w:val="006563A9"/>
    <w:rsid w:val="0067431A"/>
    <w:rsid w:val="00687214"/>
    <w:rsid w:val="00694648"/>
    <w:rsid w:val="006B4C34"/>
    <w:rsid w:val="006C2CA8"/>
    <w:rsid w:val="007042F2"/>
    <w:rsid w:val="007070E3"/>
    <w:rsid w:val="00720AE7"/>
    <w:rsid w:val="00730B21"/>
    <w:rsid w:val="00760636"/>
    <w:rsid w:val="00783723"/>
    <w:rsid w:val="00784E07"/>
    <w:rsid w:val="007851ED"/>
    <w:rsid w:val="00786E55"/>
    <w:rsid w:val="007B067F"/>
    <w:rsid w:val="007B318E"/>
    <w:rsid w:val="007D147B"/>
    <w:rsid w:val="007D5DD5"/>
    <w:rsid w:val="007D6C99"/>
    <w:rsid w:val="007D7124"/>
    <w:rsid w:val="00801A86"/>
    <w:rsid w:val="00802941"/>
    <w:rsid w:val="008073B9"/>
    <w:rsid w:val="00816B0D"/>
    <w:rsid w:val="00833325"/>
    <w:rsid w:val="0083656B"/>
    <w:rsid w:val="00836721"/>
    <w:rsid w:val="0084282A"/>
    <w:rsid w:val="008577A1"/>
    <w:rsid w:val="008720D9"/>
    <w:rsid w:val="00874629"/>
    <w:rsid w:val="00883D8D"/>
    <w:rsid w:val="0089119E"/>
    <w:rsid w:val="008946BE"/>
    <w:rsid w:val="00895616"/>
    <w:rsid w:val="008B47A0"/>
    <w:rsid w:val="008D5447"/>
    <w:rsid w:val="008E131D"/>
    <w:rsid w:val="00912671"/>
    <w:rsid w:val="00917375"/>
    <w:rsid w:val="00924E06"/>
    <w:rsid w:val="0093636E"/>
    <w:rsid w:val="00937A02"/>
    <w:rsid w:val="00953668"/>
    <w:rsid w:val="00953A5E"/>
    <w:rsid w:val="00953DFC"/>
    <w:rsid w:val="00992EE8"/>
    <w:rsid w:val="009B0C41"/>
    <w:rsid w:val="009B5144"/>
    <w:rsid w:val="009E1683"/>
    <w:rsid w:val="009E6DAF"/>
    <w:rsid w:val="00A002C3"/>
    <w:rsid w:val="00A21498"/>
    <w:rsid w:val="00A31188"/>
    <w:rsid w:val="00A52D13"/>
    <w:rsid w:val="00A56B35"/>
    <w:rsid w:val="00A607A3"/>
    <w:rsid w:val="00A6120B"/>
    <w:rsid w:val="00A63DD6"/>
    <w:rsid w:val="00A817CB"/>
    <w:rsid w:val="00A85D36"/>
    <w:rsid w:val="00A90011"/>
    <w:rsid w:val="00A92F27"/>
    <w:rsid w:val="00AA51EA"/>
    <w:rsid w:val="00AA5E09"/>
    <w:rsid w:val="00AB2197"/>
    <w:rsid w:val="00AB3447"/>
    <w:rsid w:val="00AC2F4E"/>
    <w:rsid w:val="00AC3A8B"/>
    <w:rsid w:val="00AD00A7"/>
    <w:rsid w:val="00AD12DC"/>
    <w:rsid w:val="00AE4055"/>
    <w:rsid w:val="00AF0CE9"/>
    <w:rsid w:val="00B06C98"/>
    <w:rsid w:val="00B12CC6"/>
    <w:rsid w:val="00B13797"/>
    <w:rsid w:val="00B17126"/>
    <w:rsid w:val="00B218C3"/>
    <w:rsid w:val="00B24085"/>
    <w:rsid w:val="00B64986"/>
    <w:rsid w:val="00B75B37"/>
    <w:rsid w:val="00B75B58"/>
    <w:rsid w:val="00B97491"/>
    <w:rsid w:val="00BB4806"/>
    <w:rsid w:val="00BC0B54"/>
    <w:rsid w:val="00BC230E"/>
    <w:rsid w:val="00BE0495"/>
    <w:rsid w:val="00BF18DD"/>
    <w:rsid w:val="00C00711"/>
    <w:rsid w:val="00C1142F"/>
    <w:rsid w:val="00C159EF"/>
    <w:rsid w:val="00C164B3"/>
    <w:rsid w:val="00C26791"/>
    <w:rsid w:val="00C36ED4"/>
    <w:rsid w:val="00C4059F"/>
    <w:rsid w:val="00C472C2"/>
    <w:rsid w:val="00C616B5"/>
    <w:rsid w:val="00CA1862"/>
    <w:rsid w:val="00CC1CAC"/>
    <w:rsid w:val="00CC233F"/>
    <w:rsid w:val="00CD7768"/>
    <w:rsid w:val="00CD7943"/>
    <w:rsid w:val="00CE35E4"/>
    <w:rsid w:val="00CE439D"/>
    <w:rsid w:val="00CE56D9"/>
    <w:rsid w:val="00CE7F7F"/>
    <w:rsid w:val="00D02ED1"/>
    <w:rsid w:val="00D06C69"/>
    <w:rsid w:val="00D41A28"/>
    <w:rsid w:val="00D521E2"/>
    <w:rsid w:val="00D76A6F"/>
    <w:rsid w:val="00D927D7"/>
    <w:rsid w:val="00DA0438"/>
    <w:rsid w:val="00DC020B"/>
    <w:rsid w:val="00DC1FF0"/>
    <w:rsid w:val="00DD51D8"/>
    <w:rsid w:val="00DD6C2E"/>
    <w:rsid w:val="00DE2A1F"/>
    <w:rsid w:val="00E02600"/>
    <w:rsid w:val="00E125C7"/>
    <w:rsid w:val="00E32F4D"/>
    <w:rsid w:val="00E36D4D"/>
    <w:rsid w:val="00E4791D"/>
    <w:rsid w:val="00E572EC"/>
    <w:rsid w:val="00E630F7"/>
    <w:rsid w:val="00E72157"/>
    <w:rsid w:val="00E73E07"/>
    <w:rsid w:val="00E76927"/>
    <w:rsid w:val="00E85A69"/>
    <w:rsid w:val="00E87F54"/>
    <w:rsid w:val="00E97BD8"/>
    <w:rsid w:val="00EB2DB8"/>
    <w:rsid w:val="00F011A7"/>
    <w:rsid w:val="00F212B8"/>
    <w:rsid w:val="00F32B2E"/>
    <w:rsid w:val="00F45554"/>
    <w:rsid w:val="00F61A5D"/>
    <w:rsid w:val="00F751A5"/>
    <w:rsid w:val="00F77C29"/>
    <w:rsid w:val="00F80257"/>
    <w:rsid w:val="00F83CB5"/>
    <w:rsid w:val="00F84B77"/>
    <w:rsid w:val="00FA1B03"/>
    <w:rsid w:val="00FA26A6"/>
    <w:rsid w:val="00FC1FAC"/>
    <w:rsid w:val="00FD1A47"/>
    <w:rsid w:val="00FD7FF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542251"/>
    <w:pPr>
      <w:spacing w:after="0" w:line="240" w:lineRule="auto"/>
    </w:pPr>
    <w:rPr>
      <w:rFonts w:ascii="Tahoma" w:eastAsia="Times New Roman" w:hAnsi="Tahoma" w:cs="Times New Roman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542251"/>
    <w:rPr>
      <w:rFonts w:ascii="Tahoma" w:eastAsia="Times New Roman" w:hAnsi="Tahoma" w:cs="Times New Roman"/>
      <w:b/>
      <w:bCs/>
      <w:sz w:val="20"/>
      <w:szCs w:val="24"/>
    </w:rPr>
  </w:style>
  <w:style w:type="paragraph" w:customStyle="1" w:styleId="Default">
    <w:name w:val="Default"/>
    <w:rsid w:val="00B06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542251"/>
    <w:pPr>
      <w:spacing w:after="0" w:line="240" w:lineRule="auto"/>
    </w:pPr>
    <w:rPr>
      <w:rFonts w:ascii="Tahoma" w:eastAsia="Times New Roman" w:hAnsi="Tahoma" w:cs="Times New Roman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542251"/>
    <w:rPr>
      <w:rFonts w:ascii="Tahoma" w:eastAsia="Times New Roman" w:hAnsi="Tahoma" w:cs="Times New Roman"/>
      <w:b/>
      <w:bCs/>
      <w:sz w:val="20"/>
      <w:szCs w:val="24"/>
    </w:rPr>
  </w:style>
  <w:style w:type="paragraph" w:customStyle="1" w:styleId="Default">
    <w:name w:val="Default"/>
    <w:rsid w:val="00B06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reydocs.ca/urm/idcplg?IdcService=GET_FILE&amp;dDocName=GC_259154&amp;RevisionSelectionMethod=LatestReleased&amp;Rendition=Web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eydocs.ca/urm/idcplg?IdcService=GET_FILE&amp;dDocName=GC_255415&amp;RevisionSelectionMethod=LatestReleased&amp;allowInterrupt=1&amp;Rendition=We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reydocs.ca/urm/idcplg?IdcService=GET_FILE&amp;dDocName=GC_255411&amp;RevisionSelectionMethod=LatestReleased&amp;allowInterrupt=1&amp;Rendition=Web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2016-01-27T07:58:00+00:00</sentdate>
    <Superseded xmlns="e6cd7bd4-3f3e-4495-b8c9-139289cd76e6">false</Superseded>
    <Year xmlns="e6cd7bd4-3f3e-4495-b8c9-139289cd76e6" xsi:nil="true"/>
    <originator xmlns="e6cd7bd4-3f3e-4495-b8c9-139289cd76e6">kellym</originator>
    <policyNumber xmlns="e6cd7bd4-3f3e-4495-b8c9-139289cd76e6" xsi:nil="true"/>
    <documentNumber xmlns="e6cd7bd4-3f3e-4495-b8c9-139289cd76e6">GC_100131760</documentNumber>
    <Municipality xmlns="e6cd7bd4-3f3e-4495-b8c9-139289cd76e6" xsi:nil="true"/>
    <gcNumber xmlns="e6cd7bd4-3f3e-4495-b8c9-139289cd76e6">GC_262865</gcNumber>
    <recordCategory xmlns="e6cd7bd4-3f3e-4495-b8c9-139289cd76e6">C11</recordCategory>
    <isPublic xmlns="e6cd7bd4-3f3e-4495-b8c9-139289cd76e6">true</isPublic>
    <sharedId xmlns="e6cd7bd4-3f3e-4495-b8c9-139289cd76e6">ui6m1GliRp-uHtUx_jm-wA</sharedId>
    <committee xmlns="e6cd7bd4-3f3e-4495-b8c9-139289cd76e6" xsi:nil="true"/>
    <meetingId xmlns="e6cd7bd4-3f3e-4495-b8c9-139289cd76e6">[2016-02-18 Transportation &amp; Public Safety [1266]]</meetingId>
    <capitalProjectPriority xmlns="e6cd7bd4-3f3e-4495-b8c9-139289cd76e6" xsi:nil="true"/>
    <policyApprovalDate xmlns="e6cd7bd4-3f3e-4495-b8c9-139289cd76e6" xsi:nil="true"/>
    <NodeRef xmlns="e6cd7bd4-3f3e-4495-b8c9-139289cd76e6">1aec513e-f0e9-47cb-b744-b1941d184ca9</NodeRef>
    <addressees xmlns="e6cd7bd4-3f3e-4495-b8c9-139289cd76e6" xsi:nil="true"/>
    <identifier xmlns="e6cd7bd4-3f3e-4495-b8c9-139289cd76e6">2016-1466983703812</identifier>
    <reviewAsOf xmlns="e6cd7bd4-3f3e-4495-b8c9-139289cd76e6">2026-09-08T14:23:21+00:00</reviewAsOf>
    <bylawNumber xmlns="e6cd7bd4-3f3e-4495-b8c9-139289cd76e6" xsi:nil="true"/>
    <addressee xmlns="e6cd7bd4-3f3e-4495-b8c9-139289cd76e6" xsi:nil="true"/>
    <recordOriginatingLocation xmlns="e6cd7bd4-3f3e-4495-b8c9-139289cd76e6">workspace://SpacesStore/5540f703-c9c3-4a29-b67e-699d2aa0e7b5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DCF064E-17FA-4334-99A0-4685C38BA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1C3E5-C488-4FD0-88C5-48A6BB4C2989}"/>
</file>

<file path=customXml/itemProps3.xml><?xml version="1.0" encoding="utf-8"?>
<ds:datastoreItem xmlns:ds="http://schemas.openxmlformats.org/officeDocument/2006/customXml" ds:itemID="{4C2DFFBF-2653-4368-8DBB-D2FF5A00F67E}"/>
</file>

<file path=customXml/itemProps4.xml><?xml version="1.0" encoding="utf-8"?>
<ds:datastoreItem xmlns:ds="http://schemas.openxmlformats.org/officeDocument/2006/customXml" ds:itemID="{6C922608-F75B-4889-BA57-ED0ADF54E109}"/>
</file>

<file path=customXml/itemProps5.xml><?xml version="1.0" encoding="utf-8"?>
<ds:datastoreItem xmlns:ds="http://schemas.openxmlformats.org/officeDocument/2006/customXml" ds:itemID="{8D0BC533-C8CA-4DAB-998F-6B29307B1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7</cp:revision>
  <cp:lastPrinted>2016-02-06T13:55:00Z</cp:lastPrinted>
  <dcterms:created xsi:type="dcterms:W3CDTF">2016-02-08T17:30:00Z</dcterms:created>
  <dcterms:modified xsi:type="dcterms:W3CDTF">2016-03-18T18:25:00Z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