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3B0226">
      <w:pPr>
        <w:pStyle w:val="Title"/>
        <w:widowControl w:val="0"/>
      </w:pPr>
      <w:r w:rsidRPr="00AA5E09">
        <w:rPr>
          <w:noProof/>
          <w:lang w:val="en-CA" w:eastAsia="en-CA"/>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AC3A8B" w:rsidP="003B0226">
      <w:pPr>
        <w:pStyle w:val="Heading1"/>
        <w:keepNext w:val="0"/>
        <w:keepLines w:val="0"/>
        <w:widowControl w:val="0"/>
        <w:jc w:val="center"/>
      </w:pPr>
      <w:r w:rsidRPr="00FB686F">
        <w:t xml:space="preserve">Report </w:t>
      </w:r>
      <w:r w:rsidR="0042133F">
        <w:t>FR</w:t>
      </w:r>
      <w:r w:rsidRPr="00FB686F">
        <w:t>-</w:t>
      </w:r>
      <w:r w:rsidR="0042133F">
        <w:t>CC</w:t>
      </w:r>
      <w:r w:rsidR="00A607A3">
        <w:t>-</w:t>
      </w:r>
      <w:r w:rsidR="0042133F">
        <w:t>42</w:t>
      </w:r>
      <w:r w:rsidR="00A607A3">
        <w:t>-</w:t>
      </w:r>
      <w:r w:rsidR="0042133F">
        <w:t>14</w:t>
      </w:r>
    </w:p>
    <w:p w:rsidR="00AC3A8B" w:rsidRDefault="00AC3A8B" w:rsidP="003B0226">
      <w:pPr>
        <w:pStyle w:val="NoSpacing"/>
        <w:widowControl w:val="0"/>
        <w:tabs>
          <w:tab w:val="left" w:pos="1890"/>
        </w:tabs>
        <w:spacing w:line="276" w:lineRule="auto"/>
        <w:ind w:left="1890" w:hanging="1890"/>
      </w:pPr>
      <w:r w:rsidRPr="00FB686F">
        <w:rPr>
          <w:rStyle w:val="Strong"/>
        </w:rPr>
        <w:t>To</w:t>
      </w:r>
      <w:r w:rsidRPr="00FB686F">
        <w:t>:</w:t>
      </w:r>
      <w:r>
        <w:tab/>
      </w:r>
      <w:r w:rsidR="0042133F">
        <w:t>Warden Milne and Members of County Council</w:t>
      </w:r>
    </w:p>
    <w:p w:rsidR="00AC3A8B" w:rsidRPr="00FB686F" w:rsidRDefault="00AC3A8B" w:rsidP="003B0226">
      <w:pPr>
        <w:pStyle w:val="NoSpacing"/>
        <w:widowControl w:val="0"/>
        <w:tabs>
          <w:tab w:val="left" w:pos="1890"/>
        </w:tabs>
        <w:spacing w:line="276" w:lineRule="auto"/>
        <w:ind w:left="1890" w:hanging="1890"/>
        <w:rPr>
          <w:rStyle w:val="Strong"/>
          <w:b w:val="0"/>
          <w:bCs w:val="0"/>
        </w:rPr>
      </w:pPr>
      <w:r w:rsidRPr="00FB686F">
        <w:rPr>
          <w:rStyle w:val="Strong"/>
        </w:rPr>
        <w:t>From</w:t>
      </w:r>
      <w:r w:rsidRPr="00FB686F">
        <w:t>:</w:t>
      </w:r>
      <w:r w:rsidRPr="00FB686F">
        <w:tab/>
      </w:r>
      <w:r w:rsidR="0042133F">
        <w:t>Kevin Weppler, Director of Finance</w:t>
      </w:r>
    </w:p>
    <w:p w:rsidR="00AC3A8B" w:rsidRPr="00FB686F" w:rsidRDefault="00AC3A8B" w:rsidP="003B0226">
      <w:pPr>
        <w:pStyle w:val="NoSpacing"/>
        <w:widowControl w:val="0"/>
        <w:tabs>
          <w:tab w:val="left" w:pos="1890"/>
        </w:tabs>
        <w:spacing w:line="276" w:lineRule="auto"/>
        <w:ind w:left="1890" w:hanging="1890"/>
        <w:rPr>
          <w:rStyle w:val="Strong"/>
          <w:b w:val="0"/>
          <w:bCs w:val="0"/>
        </w:rPr>
      </w:pPr>
      <w:r w:rsidRPr="00FB686F">
        <w:rPr>
          <w:rStyle w:val="Strong"/>
        </w:rPr>
        <w:t>Meeting Date:</w:t>
      </w:r>
      <w:r w:rsidRPr="00FB686F">
        <w:tab/>
      </w:r>
      <w:r w:rsidR="0042133F">
        <w:t>November 25, 2014</w:t>
      </w:r>
    </w:p>
    <w:p w:rsidR="00AC3A8B" w:rsidRPr="00FB686F" w:rsidRDefault="00AC3A8B" w:rsidP="003B0226">
      <w:pPr>
        <w:pStyle w:val="NoSpacing"/>
        <w:widowControl w:val="0"/>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085D03">
        <w:rPr>
          <w:rStyle w:val="Strong"/>
        </w:rPr>
        <w:t>Ontario Community Infrastructure Fund – Formula-Based Funding Contribution Agreement</w:t>
      </w:r>
    </w:p>
    <w:p w:rsidR="00AC3A8B" w:rsidRPr="00E26705" w:rsidRDefault="00AC3A8B" w:rsidP="003B0226">
      <w:pPr>
        <w:pStyle w:val="NoSpacing"/>
        <w:widowControl w:val="0"/>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B66342">
        <w:t>Recommendation adopted by County Council November 25, 2014 per resolution CC166-14</w:t>
      </w:r>
    </w:p>
    <w:p w:rsidR="00AC3A8B" w:rsidRPr="00FB686F" w:rsidRDefault="00AC3A8B" w:rsidP="003B0226">
      <w:pPr>
        <w:pStyle w:val="Heading2"/>
        <w:keepNext w:val="0"/>
        <w:keepLines w:val="0"/>
        <w:widowControl w:val="0"/>
      </w:pPr>
      <w:r w:rsidRPr="00FB686F">
        <w:t>Recommendation(s)</w:t>
      </w:r>
      <w:bookmarkStart w:id="0" w:name="_GoBack"/>
      <w:bookmarkEnd w:id="0"/>
    </w:p>
    <w:p w:rsidR="00AC3A8B" w:rsidRDefault="00085D03" w:rsidP="003B0226">
      <w:pPr>
        <w:widowControl w:val="0"/>
        <w:rPr>
          <w:b/>
        </w:rPr>
      </w:pPr>
      <w:r>
        <w:rPr>
          <w:b/>
        </w:rPr>
        <w:t>WHEREAS the Province of Ontario has announced infrastructure funding under the Ontario Community Infrastructure Fund (OCIF);</w:t>
      </w:r>
    </w:p>
    <w:p w:rsidR="00085D03" w:rsidRDefault="00085D03" w:rsidP="003B0226">
      <w:pPr>
        <w:widowControl w:val="0"/>
        <w:rPr>
          <w:b/>
        </w:rPr>
      </w:pPr>
      <w:r>
        <w:rPr>
          <w:b/>
        </w:rPr>
        <w:t>AND WHEREAS the County of Grey wishes to enter into this Formula-Based Contribution Agreement;</w:t>
      </w:r>
    </w:p>
    <w:p w:rsidR="00BB42AE" w:rsidRDefault="00085D03" w:rsidP="003B0226">
      <w:pPr>
        <w:widowControl w:val="0"/>
        <w:rPr>
          <w:b/>
        </w:rPr>
      </w:pPr>
      <w:r>
        <w:rPr>
          <w:b/>
        </w:rPr>
        <w:t>NOW THEREFORE BE IT RESOLVED THAT the Report FR-CC-42-14 reg</w:t>
      </w:r>
      <w:r w:rsidR="00BB42AE">
        <w:rPr>
          <w:b/>
        </w:rPr>
        <w:t>arding the Ontario Community Infrastructure Fund – Formula-Based Funding Contribution Agreement by received;</w:t>
      </w:r>
    </w:p>
    <w:p w:rsidR="00085D03" w:rsidRPr="00CA6DB9" w:rsidRDefault="00BB42AE" w:rsidP="003B0226">
      <w:pPr>
        <w:widowControl w:val="0"/>
        <w:rPr>
          <w:b/>
        </w:rPr>
      </w:pPr>
      <w:r>
        <w:rPr>
          <w:b/>
        </w:rPr>
        <w:t xml:space="preserve">AND THAT the necessary by-law </w:t>
      </w:r>
      <w:proofErr w:type="gramStart"/>
      <w:r>
        <w:rPr>
          <w:b/>
        </w:rPr>
        <w:t>be</w:t>
      </w:r>
      <w:proofErr w:type="gramEnd"/>
      <w:r>
        <w:rPr>
          <w:b/>
        </w:rPr>
        <w:t xml:space="preserve"> prepared authorizing the Warden and Clerk to execute the Contribution Agreement with the Ministry of Agriculture, Food and Rural Affairs. </w:t>
      </w:r>
      <w:r w:rsidR="00085D03">
        <w:rPr>
          <w:b/>
        </w:rPr>
        <w:t xml:space="preserve"> </w:t>
      </w:r>
    </w:p>
    <w:p w:rsidR="00AC3A8B" w:rsidRDefault="00AC3A8B" w:rsidP="003B0226">
      <w:pPr>
        <w:pStyle w:val="Heading2"/>
        <w:keepNext w:val="0"/>
        <w:keepLines w:val="0"/>
        <w:widowControl w:val="0"/>
      </w:pPr>
      <w:r w:rsidRPr="00B0378D">
        <w:t>Background</w:t>
      </w:r>
    </w:p>
    <w:p w:rsidR="00BB42AE" w:rsidRDefault="00BB42AE" w:rsidP="003B0226">
      <w:pPr>
        <w:widowControl w:val="0"/>
      </w:pPr>
      <w:r>
        <w:t>The Province of Ontario announced infrastructure funding for municipalities under the permanent Ontario Community Infrastructure Fund (OCIF).  The Ontario Community Infrastructure Fund (OCIF) will provide $100 million per year to support the revitalization and repair of roads, bridges and other critical infrastructure in small, rural and northern communities.  The OCIF includes $50 million per year in application funding and another $50 million in stable, predictable formula-based funding.</w:t>
      </w:r>
    </w:p>
    <w:p w:rsidR="00BB42AE" w:rsidRDefault="00BB42AE" w:rsidP="003B0226">
      <w:pPr>
        <w:widowControl w:val="0"/>
      </w:pPr>
      <w:r>
        <w:t xml:space="preserve">The OCIF formula funding allocations are based on municipal fiscal ability and municipal infrastructure stock.  Grants will be linked to core infrastructure (roads, bridges, water and wastewater) owned by municipalities and to their fiscal circumstances. </w:t>
      </w:r>
    </w:p>
    <w:p w:rsidR="00BB42AE" w:rsidRDefault="00BB42AE" w:rsidP="003B0226">
      <w:pPr>
        <w:widowControl w:val="0"/>
      </w:pPr>
      <w:r>
        <w:lastRenderedPageBreak/>
        <w:t>The grant is designed to respond to local needs and fiscal circumstances.  In order to ensure that municipalities with more core infrastructure and more challenging fiscal circumstances receive proportionally larger grants</w:t>
      </w:r>
      <w:r w:rsidR="006C2D21">
        <w:t>,</w:t>
      </w:r>
      <w:r>
        <w:t xml:space="preserve"> </w:t>
      </w:r>
      <w:r w:rsidR="006C2D21">
        <w:t>t</w:t>
      </w:r>
      <w:r>
        <w:t xml:space="preserve">he amount of funding per $100,000 of total core infrastructure is calculated using an “infrastructure index”.  Municipalities with a higher infrastructure index will receive a proportionally larger grant per $100,000 of core infrastructure.  The minimum grant size is $25,000.  </w:t>
      </w:r>
    </w:p>
    <w:p w:rsidR="005B7960" w:rsidRDefault="004D373C" w:rsidP="003B0226">
      <w:pPr>
        <w:widowControl w:val="0"/>
      </w:pPr>
      <w:r>
        <w:t xml:space="preserve">In </w:t>
      </w:r>
      <w:r w:rsidR="005B7960">
        <w:t>October</w:t>
      </w:r>
      <w:r>
        <w:t>, an allocation notice was received from the Ministry of Agriculture, Food and Rural Affairs, notifying that the County of Grey</w:t>
      </w:r>
      <w:r w:rsidR="005D4378">
        <w:t>’s</w:t>
      </w:r>
      <w:r>
        <w:t xml:space="preserve"> annual grant allocation (2014-2016) would be $324,515.  </w:t>
      </w:r>
      <w:r w:rsidR="005B7960">
        <w:t xml:space="preserve">This notice requested that the County keep its allocation confidential until the province had made a formal announcement. </w:t>
      </w:r>
      <w:r w:rsidR="003B0226">
        <w:t>The formal announcement was sent November 17, 2014.</w:t>
      </w:r>
      <w:r w:rsidR="005B7960">
        <w:t xml:space="preserve"> </w:t>
      </w:r>
    </w:p>
    <w:p w:rsidR="00AC3A8B" w:rsidRDefault="004D373C" w:rsidP="003B0226">
      <w:pPr>
        <w:widowControl w:val="0"/>
      </w:pPr>
      <w:r>
        <w:t>This financial assistance will be provided, subject to the terms and conditions of the Agreement, in accordance with the following:</w:t>
      </w:r>
    </w:p>
    <w:p w:rsidR="004D373C" w:rsidRDefault="004D373C" w:rsidP="003B0226">
      <w:pPr>
        <w:widowControl w:val="0"/>
      </w:pPr>
      <w:r>
        <w:t>Annual Financial Assistance is over $150,000</w:t>
      </w:r>
    </w:p>
    <w:tbl>
      <w:tblPr>
        <w:tblStyle w:val="TableGrid"/>
        <w:tblW w:w="9828" w:type="dxa"/>
        <w:tblLook w:val="04A0" w:firstRow="1" w:lastRow="0" w:firstColumn="1" w:lastColumn="0" w:noHBand="0" w:noVBand="1"/>
        <w:tblDescription w:val="Funding Years and Installment Amount Table"/>
      </w:tblPr>
      <w:tblGrid>
        <w:gridCol w:w="1728"/>
        <w:gridCol w:w="2610"/>
        <w:gridCol w:w="2520"/>
        <w:gridCol w:w="2970"/>
      </w:tblGrid>
      <w:tr w:rsidR="004D373C" w:rsidTr="003B0226">
        <w:trPr>
          <w:tblHeader/>
        </w:trPr>
        <w:tc>
          <w:tcPr>
            <w:tcW w:w="1728" w:type="dxa"/>
          </w:tcPr>
          <w:p w:rsidR="004D373C" w:rsidRDefault="004D373C" w:rsidP="003B0226">
            <w:pPr>
              <w:widowControl w:val="0"/>
            </w:pPr>
            <w:r>
              <w:t>Funding Year</w:t>
            </w:r>
          </w:p>
        </w:tc>
        <w:tc>
          <w:tcPr>
            <w:tcW w:w="2610" w:type="dxa"/>
          </w:tcPr>
          <w:p w:rsidR="004D373C" w:rsidRDefault="004D373C" w:rsidP="003B0226">
            <w:pPr>
              <w:widowControl w:val="0"/>
            </w:pPr>
            <w:r>
              <w:t>1</w:t>
            </w:r>
            <w:r w:rsidRPr="004D373C">
              <w:rPr>
                <w:vertAlign w:val="superscript"/>
              </w:rPr>
              <w:t>st</w:t>
            </w:r>
            <w:r>
              <w:t xml:space="preserve"> Installment (25%)</w:t>
            </w:r>
          </w:p>
        </w:tc>
        <w:tc>
          <w:tcPr>
            <w:tcW w:w="2520" w:type="dxa"/>
          </w:tcPr>
          <w:p w:rsidR="004D373C" w:rsidRDefault="004D373C" w:rsidP="003B0226">
            <w:pPr>
              <w:widowControl w:val="0"/>
            </w:pPr>
            <w:r>
              <w:t>2</w:t>
            </w:r>
            <w:r w:rsidRPr="004D373C">
              <w:rPr>
                <w:vertAlign w:val="superscript"/>
              </w:rPr>
              <w:t>nd</w:t>
            </w:r>
            <w:r>
              <w:t xml:space="preserve"> Installment (50%)</w:t>
            </w:r>
          </w:p>
        </w:tc>
        <w:tc>
          <w:tcPr>
            <w:tcW w:w="2970" w:type="dxa"/>
          </w:tcPr>
          <w:p w:rsidR="004D373C" w:rsidRDefault="004D373C" w:rsidP="003B0226">
            <w:pPr>
              <w:widowControl w:val="0"/>
            </w:pPr>
            <w:r>
              <w:t>3</w:t>
            </w:r>
            <w:r w:rsidRPr="004D373C">
              <w:rPr>
                <w:vertAlign w:val="superscript"/>
              </w:rPr>
              <w:t>rd</w:t>
            </w:r>
            <w:r>
              <w:t xml:space="preserve"> Installment (25%)</w:t>
            </w:r>
          </w:p>
        </w:tc>
      </w:tr>
      <w:tr w:rsidR="004D373C" w:rsidTr="004D373C">
        <w:tc>
          <w:tcPr>
            <w:tcW w:w="1728" w:type="dxa"/>
          </w:tcPr>
          <w:p w:rsidR="004D373C" w:rsidRDefault="004D373C" w:rsidP="003B0226">
            <w:pPr>
              <w:widowControl w:val="0"/>
            </w:pPr>
            <w:r>
              <w:t>2015</w:t>
            </w:r>
          </w:p>
        </w:tc>
        <w:tc>
          <w:tcPr>
            <w:tcW w:w="2610" w:type="dxa"/>
          </w:tcPr>
          <w:p w:rsidR="004D373C" w:rsidRDefault="004D373C" w:rsidP="003B0226">
            <w:pPr>
              <w:widowControl w:val="0"/>
            </w:pPr>
            <w:r>
              <w:t>January – March 2015</w:t>
            </w:r>
          </w:p>
        </w:tc>
        <w:tc>
          <w:tcPr>
            <w:tcW w:w="2520" w:type="dxa"/>
          </w:tcPr>
          <w:p w:rsidR="004D373C" w:rsidRDefault="004D373C" w:rsidP="003B0226">
            <w:pPr>
              <w:widowControl w:val="0"/>
            </w:pPr>
            <w:r>
              <w:t>April – June 2015</w:t>
            </w:r>
          </w:p>
        </w:tc>
        <w:tc>
          <w:tcPr>
            <w:tcW w:w="2970" w:type="dxa"/>
          </w:tcPr>
          <w:p w:rsidR="004D373C" w:rsidRDefault="004D373C" w:rsidP="003B0226">
            <w:pPr>
              <w:widowControl w:val="0"/>
            </w:pPr>
            <w:r>
              <w:t>July to September 2015</w:t>
            </w:r>
          </w:p>
        </w:tc>
      </w:tr>
      <w:tr w:rsidR="004D373C" w:rsidTr="004D373C">
        <w:tc>
          <w:tcPr>
            <w:tcW w:w="1728" w:type="dxa"/>
          </w:tcPr>
          <w:p w:rsidR="004D373C" w:rsidRDefault="004D373C" w:rsidP="003B0226">
            <w:pPr>
              <w:widowControl w:val="0"/>
            </w:pPr>
            <w:r>
              <w:t>2016</w:t>
            </w:r>
          </w:p>
        </w:tc>
        <w:tc>
          <w:tcPr>
            <w:tcW w:w="2610" w:type="dxa"/>
          </w:tcPr>
          <w:p w:rsidR="004D373C" w:rsidRDefault="004D373C" w:rsidP="003B0226">
            <w:pPr>
              <w:widowControl w:val="0"/>
            </w:pPr>
            <w:r>
              <w:t>January – March 2016</w:t>
            </w:r>
          </w:p>
        </w:tc>
        <w:tc>
          <w:tcPr>
            <w:tcW w:w="2520" w:type="dxa"/>
          </w:tcPr>
          <w:p w:rsidR="004D373C" w:rsidRDefault="004D373C" w:rsidP="003B0226">
            <w:pPr>
              <w:widowControl w:val="0"/>
            </w:pPr>
            <w:r>
              <w:t>April – June 2016</w:t>
            </w:r>
          </w:p>
        </w:tc>
        <w:tc>
          <w:tcPr>
            <w:tcW w:w="2970" w:type="dxa"/>
          </w:tcPr>
          <w:p w:rsidR="004D373C" w:rsidRDefault="004D373C" w:rsidP="003B0226">
            <w:pPr>
              <w:widowControl w:val="0"/>
            </w:pPr>
            <w:r>
              <w:t>July to September 2016</w:t>
            </w:r>
          </w:p>
        </w:tc>
      </w:tr>
      <w:tr w:rsidR="004D373C" w:rsidTr="004D373C">
        <w:tc>
          <w:tcPr>
            <w:tcW w:w="1728" w:type="dxa"/>
          </w:tcPr>
          <w:p w:rsidR="004D373C" w:rsidRDefault="004D373C" w:rsidP="003B0226">
            <w:pPr>
              <w:widowControl w:val="0"/>
            </w:pPr>
            <w:r>
              <w:t>2017</w:t>
            </w:r>
          </w:p>
        </w:tc>
        <w:tc>
          <w:tcPr>
            <w:tcW w:w="2610" w:type="dxa"/>
          </w:tcPr>
          <w:p w:rsidR="004D373C" w:rsidRDefault="004D373C" w:rsidP="003B0226">
            <w:pPr>
              <w:widowControl w:val="0"/>
            </w:pPr>
            <w:r>
              <w:t>January – March 2017</w:t>
            </w:r>
          </w:p>
        </w:tc>
        <w:tc>
          <w:tcPr>
            <w:tcW w:w="2520" w:type="dxa"/>
          </w:tcPr>
          <w:p w:rsidR="004D373C" w:rsidRDefault="004D373C" w:rsidP="003B0226">
            <w:pPr>
              <w:widowControl w:val="0"/>
            </w:pPr>
            <w:r>
              <w:t>April – June 2017</w:t>
            </w:r>
          </w:p>
        </w:tc>
        <w:tc>
          <w:tcPr>
            <w:tcW w:w="2970" w:type="dxa"/>
          </w:tcPr>
          <w:p w:rsidR="004D373C" w:rsidRDefault="004D373C" w:rsidP="003B0226">
            <w:pPr>
              <w:widowControl w:val="0"/>
            </w:pPr>
            <w:r>
              <w:t>July to September 2017</w:t>
            </w:r>
          </w:p>
        </w:tc>
      </w:tr>
    </w:tbl>
    <w:p w:rsidR="00AC3A8B" w:rsidRPr="00B0378D" w:rsidRDefault="00AC3A8B" w:rsidP="003B0226">
      <w:pPr>
        <w:pStyle w:val="Heading2"/>
        <w:keepNext w:val="0"/>
        <w:keepLines w:val="0"/>
        <w:widowControl w:val="0"/>
        <w:rPr>
          <w:b/>
        </w:rPr>
      </w:pPr>
      <w:r w:rsidRPr="00B0378D">
        <w:t>Financial / Staffing / Legal / Information Technology Considerations</w:t>
      </w:r>
    </w:p>
    <w:p w:rsidR="00AC3A8B" w:rsidRPr="00B0378D" w:rsidRDefault="005D4378" w:rsidP="003B0226">
      <w:pPr>
        <w:widowControl w:val="0"/>
      </w:pPr>
      <w:r>
        <w:t>The County of Grey annual grant allocation for the 2014-2016 years will be $324,515.  This will provide stable funding to help address core infrastructure needs and will be subject to the terms and conditions of the Agreement.</w:t>
      </w:r>
    </w:p>
    <w:p w:rsidR="00AC3A8B" w:rsidRPr="00580AAD" w:rsidRDefault="00AC3A8B" w:rsidP="003B0226">
      <w:pPr>
        <w:pStyle w:val="Heading2"/>
        <w:keepNext w:val="0"/>
        <w:keepLines w:val="0"/>
        <w:widowControl w:val="0"/>
      </w:pPr>
      <w:r w:rsidRPr="00580AAD">
        <w:t>Link to Strategic Goals / Priorities</w:t>
      </w:r>
    </w:p>
    <w:p w:rsidR="00AC3A8B" w:rsidRDefault="005D4378" w:rsidP="003B0226">
      <w:pPr>
        <w:widowControl w:val="0"/>
      </w:pPr>
      <w:r>
        <w:t>Establishing funding agreements will ensure that Council’s goals of ensuring financial stability and ongoing public accountability are maintained.</w:t>
      </w:r>
    </w:p>
    <w:p w:rsidR="00CF4AA5" w:rsidRDefault="00CF4AA5" w:rsidP="003B0226">
      <w:pPr>
        <w:pStyle w:val="Heading2"/>
        <w:keepNext w:val="0"/>
        <w:keepLines w:val="0"/>
        <w:widowControl w:val="0"/>
      </w:pPr>
      <w:r>
        <w:t>Attachments</w:t>
      </w:r>
    </w:p>
    <w:p w:rsidR="00816DA7" w:rsidRPr="003B0226" w:rsidRDefault="00B66342" w:rsidP="003B0226">
      <w:pPr>
        <w:widowControl w:val="0"/>
        <w:rPr>
          <w:sz w:val="20"/>
          <w:szCs w:val="20"/>
        </w:rPr>
      </w:pPr>
      <w:hyperlink r:id="rId9" w:tooltip="Ontario Community Infrastructure Fund (OCIF)- Formula-based Component (OCIF) Municipal Contribution Agreement - OCIF FC-0105" w:history="1">
        <w:r w:rsidR="005D4378" w:rsidRPr="003B0226">
          <w:rPr>
            <w:rStyle w:val="Hyperlink"/>
            <w:sz w:val="20"/>
            <w:szCs w:val="20"/>
          </w:rPr>
          <w:t>Ontario Community Infrastructure Fund (OCIF</w:t>
        </w:r>
        <w:proofErr w:type="gramStart"/>
        <w:r w:rsidR="005D4378" w:rsidRPr="003B0226">
          <w:rPr>
            <w:rStyle w:val="Hyperlink"/>
            <w:sz w:val="20"/>
            <w:szCs w:val="20"/>
          </w:rPr>
          <w:t>)-</w:t>
        </w:r>
        <w:proofErr w:type="gramEnd"/>
        <w:r w:rsidR="005D4378" w:rsidRPr="003B0226">
          <w:rPr>
            <w:rStyle w:val="Hyperlink"/>
            <w:sz w:val="20"/>
            <w:szCs w:val="20"/>
          </w:rPr>
          <w:t xml:space="preserve"> Formula-based Component (OCIF) Municipal Contribution </w:t>
        </w:r>
        <w:r w:rsidR="005D4378" w:rsidRPr="003B0226">
          <w:rPr>
            <w:rStyle w:val="Hyperlink"/>
            <w:sz w:val="22"/>
            <w:szCs w:val="22"/>
          </w:rPr>
          <w:t>Agreement</w:t>
        </w:r>
        <w:r w:rsidR="005D4378" w:rsidRPr="003B0226">
          <w:rPr>
            <w:rStyle w:val="Hyperlink"/>
            <w:sz w:val="20"/>
            <w:szCs w:val="20"/>
          </w:rPr>
          <w:t xml:space="preserve"> - OCIF FC-0105</w:t>
        </w:r>
      </w:hyperlink>
      <w:r w:rsidR="00816DA7" w:rsidRPr="003B0226">
        <w:rPr>
          <w:sz w:val="20"/>
          <w:szCs w:val="20"/>
        </w:rPr>
        <w:t xml:space="preserve"> </w:t>
      </w:r>
    </w:p>
    <w:p w:rsidR="00AC3A8B" w:rsidRPr="00B0378D" w:rsidRDefault="00AC3A8B" w:rsidP="003B0226">
      <w:pPr>
        <w:widowControl w:val="0"/>
      </w:pPr>
      <w:r w:rsidRPr="00B0378D">
        <w:t>Respectfully submitted by,</w:t>
      </w:r>
    </w:p>
    <w:p w:rsidR="003B0226" w:rsidRDefault="005D4378" w:rsidP="003B0226">
      <w:pPr>
        <w:widowControl w:val="0"/>
        <w:sectPr w:rsidR="003B0226" w:rsidSect="003B0226">
          <w:footerReference w:type="default" r:id="rId10"/>
          <w:type w:val="continuous"/>
          <w:pgSz w:w="12240" w:h="15840" w:code="1"/>
          <w:pgMar w:top="993" w:right="1440" w:bottom="1134" w:left="1440" w:header="720" w:footer="720" w:gutter="0"/>
          <w:cols w:space="720"/>
          <w:docGrid w:linePitch="360"/>
        </w:sectPr>
      </w:pPr>
      <w:r>
        <w:t>Kevin Weppler</w:t>
      </w:r>
      <w:r w:rsidR="00B12CC6">
        <w:br/>
      </w:r>
      <w:r w:rsidR="00294CB3">
        <w:t>Director of Finance</w:t>
      </w:r>
    </w:p>
    <w:p w:rsidR="00AC3A8B" w:rsidRPr="00B0378D" w:rsidRDefault="00AC3A8B" w:rsidP="003B0226">
      <w:pPr>
        <w:widowControl w:val="0"/>
      </w:pPr>
    </w:p>
    <w:p w:rsidR="003B0226" w:rsidRDefault="003B0226" w:rsidP="003B0226">
      <w:pPr>
        <w:widowControl w:val="0"/>
      </w:pPr>
      <w:r>
        <w:rPr>
          <w:noProof/>
          <w:lang w:val="en-CA" w:eastAsia="en-CA"/>
        </w:rPr>
        <w:drawing>
          <wp:inline distT="0" distB="0" distL="0" distR="0">
            <wp:extent cx="5943600" cy="8344436"/>
            <wp:effectExtent l="0" t="0" r="0" b="0"/>
            <wp:docPr id="2" name="Picture 2" descr="Letter from OMAFRA Regarding funding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44436"/>
                    </a:xfrm>
                    <a:prstGeom prst="rect">
                      <a:avLst/>
                    </a:prstGeom>
                    <a:noFill/>
                    <a:ln>
                      <a:noFill/>
                    </a:ln>
                  </pic:spPr>
                </pic:pic>
              </a:graphicData>
            </a:graphic>
          </wp:inline>
        </w:drawing>
      </w:r>
    </w:p>
    <w:p w:rsidR="003B0226" w:rsidRDefault="003B0226" w:rsidP="003B0226">
      <w:r>
        <w:br w:type="page"/>
      </w:r>
      <w:r>
        <w:rPr>
          <w:noProof/>
          <w:lang w:val="en-CA" w:eastAsia="en-CA"/>
        </w:rPr>
        <w:lastRenderedPageBreak/>
        <w:drawing>
          <wp:inline distT="0" distB="0" distL="0" distR="0">
            <wp:extent cx="6744042" cy="8907780"/>
            <wp:effectExtent l="0" t="0" r="0" b="7620"/>
            <wp:docPr id="3" name="Picture 3" descr="Page 2 of funding agreement letter from OMA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698" cy="8909967"/>
                    </a:xfrm>
                    <a:prstGeom prst="rect">
                      <a:avLst/>
                    </a:prstGeom>
                    <a:noFill/>
                    <a:ln>
                      <a:noFill/>
                    </a:ln>
                  </pic:spPr>
                </pic:pic>
              </a:graphicData>
            </a:graphic>
          </wp:inline>
        </w:drawing>
      </w:r>
    </w:p>
    <w:p w:rsidR="00540DB8" w:rsidRDefault="00540DB8" w:rsidP="003B0226">
      <w:pPr>
        <w:widowControl w:val="0"/>
      </w:pPr>
      <w:r>
        <w:rPr>
          <w:noProof/>
          <w:lang w:val="en-CA" w:eastAsia="en-CA"/>
        </w:rPr>
        <w:lastRenderedPageBreak/>
        <w:drawing>
          <wp:inline distT="0" distB="0" distL="0" distR="0">
            <wp:extent cx="6830296" cy="8183880"/>
            <wp:effectExtent l="0" t="0" r="8890" b="7620"/>
            <wp:docPr id="4" name="Picture 4" descr="Allocation Notic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4503" cy="8188921"/>
                    </a:xfrm>
                    <a:prstGeom prst="rect">
                      <a:avLst/>
                    </a:prstGeom>
                    <a:noFill/>
                    <a:ln>
                      <a:noFill/>
                    </a:ln>
                  </pic:spPr>
                </pic:pic>
              </a:graphicData>
            </a:graphic>
          </wp:inline>
        </w:drawing>
      </w:r>
    </w:p>
    <w:p w:rsidR="00540DB8" w:rsidRDefault="00540DB8" w:rsidP="00540DB8">
      <w:r>
        <w:br w:type="page"/>
      </w:r>
    </w:p>
    <w:p w:rsidR="00540DB8" w:rsidRDefault="00540DB8">
      <w:r>
        <w:rPr>
          <w:noProof/>
          <w:lang w:val="en-CA" w:eastAsia="en-CA"/>
        </w:rPr>
        <w:lastRenderedPageBreak/>
        <w:drawing>
          <wp:inline distT="0" distB="0" distL="0" distR="0">
            <wp:extent cx="6563341" cy="8945880"/>
            <wp:effectExtent l="0" t="0" r="9525" b="7620"/>
            <wp:docPr id="5" name="Picture 5" descr="Allocation Notic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4239" cy="8947104"/>
                    </a:xfrm>
                    <a:prstGeom prst="rect">
                      <a:avLst/>
                    </a:prstGeom>
                    <a:noFill/>
                    <a:ln>
                      <a:noFill/>
                    </a:ln>
                  </pic:spPr>
                </pic:pic>
              </a:graphicData>
            </a:graphic>
          </wp:inline>
        </w:drawing>
      </w:r>
    </w:p>
    <w:p w:rsidR="00FE7170" w:rsidRDefault="00540DB8" w:rsidP="003B0226">
      <w:pPr>
        <w:widowControl w:val="0"/>
      </w:pPr>
      <w:r>
        <w:rPr>
          <w:noProof/>
          <w:lang w:val="en-CA" w:eastAsia="en-CA"/>
        </w:rPr>
        <w:lastRenderedPageBreak/>
        <w:drawing>
          <wp:inline distT="0" distB="0" distL="0" distR="0">
            <wp:extent cx="6758940" cy="7533331"/>
            <wp:effectExtent l="0" t="0" r="3810" b="0"/>
            <wp:docPr id="6" name="Picture 6" descr="Allocation Notic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1793" cy="7536511"/>
                    </a:xfrm>
                    <a:prstGeom prst="rect">
                      <a:avLst/>
                    </a:prstGeom>
                    <a:noFill/>
                    <a:ln>
                      <a:noFill/>
                    </a:ln>
                  </pic:spPr>
                </pic:pic>
              </a:graphicData>
            </a:graphic>
          </wp:inline>
        </w:drawing>
      </w:r>
    </w:p>
    <w:p w:rsidR="00540DB8" w:rsidRDefault="00540DB8">
      <w:r>
        <w:br w:type="page"/>
      </w:r>
    </w:p>
    <w:p w:rsidR="00540DB8" w:rsidRDefault="00540DB8" w:rsidP="003B0226">
      <w:pPr>
        <w:widowControl w:val="0"/>
        <w:rPr>
          <w:noProof/>
          <w:lang w:val="en-CA" w:eastAsia="en-CA"/>
        </w:rPr>
      </w:pPr>
    </w:p>
    <w:p w:rsidR="00540DB8" w:rsidRDefault="00540DB8" w:rsidP="003B0226">
      <w:pPr>
        <w:widowControl w:val="0"/>
        <w:rPr>
          <w:noProof/>
          <w:lang w:val="en-CA" w:eastAsia="en-CA"/>
        </w:rPr>
      </w:pPr>
      <w:r>
        <w:rPr>
          <w:noProof/>
          <w:lang w:val="en-CA" w:eastAsia="en-CA"/>
        </w:rPr>
        <w:drawing>
          <wp:inline distT="0" distB="0" distL="0" distR="0" wp14:anchorId="0868A7C0" wp14:editId="31F83131">
            <wp:extent cx="6908564" cy="6141720"/>
            <wp:effectExtent l="0" t="0" r="6985" b="0"/>
            <wp:docPr id="7" name="Picture 7" descr="Allocation Notic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2758" cy="6145449"/>
                    </a:xfrm>
                    <a:prstGeom prst="rect">
                      <a:avLst/>
                    </a:prstGeom>
                    <a:noFill/>
                    <a:ln>
                      <a:noFill/>
                    </a:ln>
                  </pic:spPr>
                </pic:pic>
              </a:graphicData>
            </a:graphic>
          </wp:inline>
        </w:drawing>
      </w:r>
    </w:p>
    <w:p w:rsidR="00540DB8" w:rsidRDefault="00540DB8" w:rsidP="003B0226">
      <w:pPr>
        <w:widowControl w:val="0"/>
        <w:rPr>
          <w:noProof/>
          <w:lang w:val="en-CA" w:eastAsia="en-CA"/>
        </w:rPr>
      </w:pPr>
    </w:p>
    <w:p w:rsidR="00540DB8" w:rsidRDefault="00540DB8" w:rsidP="003B0226">
      <w:pPr>
        <w:widowControl w:val="0"/>
        <w:rPr>
          <w:noProof/>
          <w:lang w:val="en-CA" w:eastAsia="en-CA"/>
        </w:rPr>
      </w:pPr>
    </w:p>
    <w:p w:rsidR="00540DB8" w:rsidRDefault="00540DB8">
      <w:r>
        <w:br w:type="page"/>
      </w:r>
    </w:p>
    <w:p w:rsidR="00540DB8" w:rsidRDefault="00540DB8" w:rsidP="003B0226">
      <w:pPr>
        <w:widowControl w:val="0"/>
        <w:rPr>
          <w:noProof/>
          <w:lang w:val="en-CA" w:eastAsia="en-CA"/>
        </w:rPr>
      </w:pPr>
      <w:r>
        <w:rPr>
          <w:noProof/>
          <w:lang w:val="en-CA" w:eastAsia="en-CA"/>
        </w:rPr>
        <w:lastRenderedPageBreak/>
        <w:drawing>
          <wp:inline distT="0" distB="0" distL="0" distR="0" wp14:anchorId="14EFE7F9" wp14:editId="52A30556">
            <wp:extent cx="7027249" cy="6713220"/>
            <wp:effectExtent l="0" t="0" r="2540" b="0"/>
            <wp:docPr id="8" name="Picture 8" descr="Allocation Notic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8607" cy="6714517"/>
                    </a:xfrm>
                    <a:prstGeom prst="rect">
                      <a:avLst/>
                    </a:prstGeom>
                    <a:noFill/>
                    <a:ln>
                      <a:noFill/>
                    </a:ln>
                  </pic:spPr>
                </pic:pic>
              </a:graphicData>
            </a:graphic>
          </wp:inline>
        </w:drawing>
      </w:r>
    </w:p>
    <w:p w:rsidR="00540DB8" w:rsidRDefault="00540DB8" w:rsidP="003B0226">
      <w:pPr>
        <w:widowControl w:val="0"/>
        <w:rPr>
          <w:noProof/>
          <w:lang w:val="en-CA" w:eastAsia="en-CA"/>
        </w:rPr>
      </w:pPr>
    </w:p>
    <w:p w:rsidR="00540DB8" w:rsidRDefault="00540DB8">
      <w:pPr>
        <w:rPr>
          <w:noProof/>
          <w:lang w:val="en-CA" w:eastAsia="en-CA"/>
        </w:rPr>
      </w:pPr>
      <w:r>
        <w:rPr>
          <w:noProof/>
          <w:lang w:val="en-CA" w:eastAsia="en-CA"/>
        </w:rPr>
        <w:br w:type="page"/>
      </w:r>
    </w:p>
    <w:p w:rsidR="00540DB8" w:rsidRDefault="00540DB8" w:rsidP="003B0226">
      <w:pPr>
        <w:widowControl w:val="0"/>
        <w:rPr>
          <w:noProof/>
          <w:lang w:val="en-CA" w:eastAsia="en-CA"/>
        </w:rPr>
      </w:pPr>
      <w:r>
        <w:rPr>
          <w:noProof/>
          <w:lang w:val="en-CA" w:eastAsia="en-CA"/>
        </w:rPr>
        <w:lastRenderedPageBreak/>
        <w:drawing>
          <wp:inline distT="0" distB="0" distL="0" distR="0">
            <wp:extent cx="5943600" cy="5291039"/>
            <wp:effectExtent l="0" t="0" r="0" b="5080"/>
            <wp:docPr id="9" name="Picture 9" descr="Allocation Notice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91039"/>
                    </a:xfrm>
                    <a:prstGeom prst="rect">
                      <a:avLst/>
                    </a:prstGeom>
                    <a:noFill/>
                    <a:ln>
                      <a:noFill/>
                    </a:ln>
                  </pic:spPr>
                </pic:pic>
              </a:graphicData>
            </a:graphic>
          </wp:inline>
        </w:drawing>
      </w:r>
    </w:p>
    <w:p w:rsidR="00540DB8" w:rsidRDefault="00540DB8" w:rsidP="003B0226">
      <w:pPr>
        <w:widowControl w:val="0"/>
      </w:pPr>
    </w:p>
    <w:sectPr w:rsidR="00540DB8" w:rsidSect="003B0226">
      <w:footerReference w:type="default" r:id="rId19"/>
      <w:pgSz w:w="12240" w:h="15840" w:code="1"/>
      <w:pgMar w:top="993"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D7C" w:rsidRDefault="001F1D7C" w:rsidP="00883D8D">
      <w:pPr>
        <w:spacing w:after="0" w:line="240" w:lineRule="auto"/>
      </w:pPr>
      <w:r>
        <w:separator/>
      </w:r>
    </w:p>
  </w:endnote>
  <w:endnote w:type="continuationSeparator" w:id="0">
    <w:p w:rsidR="001F1D7C" w:rsidRDefault="001F1D7C"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5D4378" w:rsidP="00AC3A8B">
    <w:pPr>
      <w:pStyle w:val="Footer"/>
      <w:rPr>
        <w:sz w:val="22"/>
        <w:szCs w:val="22"/>
      </w:rPr>
    </w:pPr>
    <w:r>
      <w:rPr>
        <w:sz w:val="22"/>
        <w:szCs w:val="22"/>
      </w:rPr>
      <w:t>FR</w:t>
    </w:r>
    <w:r w:rsidR="00AC3A8B" w:rsidRPr="00FB686F">
      <w:rPr>
        <w:sz w:val="22"/>
        <w:szCs w:val="22"/>
      </w:rPr>
      <w:t>-</w:t>
    </w:r>
    <w:r>
      <w:rPr>
        <w:sz w:val="22"/>
        <w:szCs w:val="22"/>
      </w:rPr>
      <w:t>CC</w:t>
    </w:r>
    <w:r w:rsidR="00AC3A8B" w:rsidRPr="00FB686F">
      <w:rPr>
        <w:sz w:val="22"/>
        <w:szCs w:val="22"/>
      </w:rPr>
      <w:t>-</w:t>
    </w:r>
    <w:r>
      <w:rPr>
        <w:sz w:val="22"/>
        <w:szCs w:val="22"/>
      </w:rPr>
      <w:t>42</w:t>
    </w:r>
    <w:r w:rsidR="00AC3A8B" w:rsidRPr="00FB686F">
      <w:rPr>
        <w:sz w:val="22"/>
        <w:szCs w:val="22"/>
      </w:rPr>
      <w:t>-</w:t>
    </w:r>
    <w:r>
      <w:rPr>
        <w:sz w:val="22"/>
        <w:szCs w:val="22"/>
      </w:rPr>
      <w:t>14</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B66342">
      <w:rPr>
        <w:noProof/>
        <w:sz w:val="22"/>
        <w:szCs w:val="22"/>
      </w:rPr>
      <w:t>2</w:t>
    </w:r>
    <w:r w:rsidR="00AC3A8B" w:rsidRPr="00FB686F">
      <w:rPr>
        <w:noProof/>
        <w:sz w:val="22"/>
        <w:szCs w:val="22"/>
      </w:rPr>
      <w:fldChar w:fldCharType="end"/>
    </w:r>
    <w:r w:rsidR="00AC3A8B" w:rsidRPr="00FB686F">
      <w:rPr>
        <w:sz w:val="22"/>
        <w:szCs w:val="22"/>
      </w:rPr>
      <w:ptab w:relativeTo="margin" w:alignment="right" w:leader="none"/>
    </w:r>
    <w:r>
      <w:rPr>
        <w:sz w:val="22"/>
        <w:szCs w:val="22"/>
      </w:rPr>
      <w:t>November 25,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226" w:rsidRPr="003B0226" w:rsidRDefault="003B0226" w:rsidP="003B0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D7C" w:rsidRDefault="001F1D7C" w:rsidP="00883D8D">
      <w:pPr>
        <w:spacing w:after="0" w:line="240" w:lineRule="auto"/>
      </w:pPr>
      <w:r>
        <w:separator/>
      </w:r>
    </w:p>
  </w:footnote>
  <w:footnote w:type="continuationSeparator" w:id="0">
    <w:p w:rsidR="001F1D7C" w:rsidRDefault="001F1D7C" w:rsidP="00883D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81FCF"/>
    <w:rsid w:val="00085D03"/>
    <w:rsid w:val="000B7C11"/>
    <w:rsid w:val="00113FCB"/>
    <w:rsid w:val="001F1D7C"/>
    <w:rsid w:val="00247CA8"/>
    <w:rsid w:val="002915BC"/>
    <w:rsid w:val="00294CB3"/>
    <w:rsid w:val="002C6064"/>
    <w:rsid w:val="003062A4"/>
    <w:rsid w:val="003B0226"/>
    <w:rsid w:val="0042133F"/>
    <w:rsid w:val="00446A72"/>
    <w:rsid w:val="00457F2B"/>
    <w:rsid w:val="00464176"/>
    <w:rsid w:val="004942B7"/>
    <w:rsid w:val="004D373C"/>
    <w:rsid w:val="004F083D"/>
    <w:rsid w:val="00540DB8"/>
    <w:rsid w:val="005A360A"/>
    <w:rsid w:val="005B7960"/>
    <w:rsid w:val="005D4378"/>
    <w:rsid w:val="00644370"/>
    <w:rsid w:val="006563A9"/>
    <w:rsid w:val="00665B21"/>
    <w:rsid w:val="006B4C34"/>
    <w:rsid w:val="006C2D21"/>
    <w:rsid w:val="00816DA7"/>
    <w:rsid w:val="00883D8D"/>
    <w:rsid w:val="00895616"/>
    <w:rsid w:val="00953DFC"/>
    <w:rsid w:val="00A52D13"/>
    <w:rsid w:val="00A607A3"/>
    <w:rsid w:val="00A63DD6"/>
    <w:rsid w:val="00A85D36"/>
    <w:rsid w:val="00AA5E09"/>
    <w:rsid w:val="00AB2197"/>
    <w:rsid w:val="00AC3A8B"/>
    <w:rsid w:val="00B12CC6"/>
    <w:rsid w:val="00B41B2D"/>
    <w:rsid w:val="00B64986"/>
    <w:rsid w:val="00B66342"/>
    <w:rsid w:val="00BB42AE"/>
    <w:rsid w:val="00CE439D"/>
    <w:rsid w:val="00CF4AA5"/>
    <w:rsid w:val="00DC1FF0"/>
    <w:rsid w:val="00E32F4D"/>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4D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43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4D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43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reydocs.ca/urm/idcplg?IdcService=GET_FILE&amp;dDocName=GC_239820&amp;RevisionSelectionMethod=LatestReleased&amp;Rendition=Web" TargetMode="External"/><Relationship Id="rId14" Type="http://schemas.openxmlformats.org/officeDocument/2006/relationships/image" Target="media/image5.emf"/><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2014-11-19T12:58:00+00:00</sentdate>
    <Superseded xmlns="e6cd7bd4-3f3e-4495-b8c9-139289cd76e6">false</Superseded>
    <Year xmlns="e6cd7bd4-3f3e-4495-b8c9-139289cd76e6">2014</Year>
    <originator xmlns="e6cd7bd4-3f3e-4495-b8c9-139289cd76e6">wepplerk</originator>
    <policyNumber xmlns="e6cd7bd4-3f3e-4495-b8c9-139289cd76e6" xsi:nil="true"/>
    <documentNumber xmlns="e6cd7bd4-3f3e-4495-b8c9-139289cd76e6">GC_100008001</documentNumber>
    <Municipality xmlns="e6cd7bd4-3f3e-4495-b8c9-139289cd76e6" xsi:nil="true"/>
    <gcNumber xmlns="e6cd7bd4-3f3e-4495-b8c9-139289cd76e6">GC_239842</gcNumber>
    <recordCategory xmlns="e6cd7bd4-3f3e-4495-b8c9-139289cd76e6">C11</recordCategory>
    <isPublic xmlns="e6cd7bd4-3f3e-4495-b8c9-139289cd76e6">true</isPublic>
    <sharedId xmlns="e6cd7bd4-3f3e-4495-b8c9-139289cd76e6">ZTTnhkO1RoG0vDpwD6rcmw</sharedId>
    <committee xmlns="e6cd7bd4-3f3e-4495-b8c9-139289cd76e6">Council</committee>
    <meetingId xmlns="e6cd7bd4-3f3e-4495-b8c9-139289cd76e6">[2014-11-25 County Council [1042]]</meetingId>
    <capitalProjectPriority xmlns="e6cd7bd4-3f3e-4495-b8c9-139289cd76e6" xsi:nil="true"/>
    <policyApprovalDate xmlns="e6cd7bd4-3f3e-4495-b8c9-139289cd76e6" xsi:nil="true"/>
    <NodeRef xmlns="e6cd7bd4-3f3e-4495-b8c9-139289cd76e6">1d2ba523-91cf-4814-8402-715d800d8490</NodeRef>
    <addressees xmlns="e6cd7bd4-3f3e-4495-b8c9-139289cd76e6" xsi:nil="true"/>
    <identifier xmlns="e6cd7bd4-3f3e-4495-b8c9-139289cd76e6">2016-1466887694904</identifier>
    <reviewAsOf xmlns="e6cd7bd4-3f3e-4495-b8c9-139289cd76e6">2026-11-08T08:37:41+00:00</reviewAsOf>
    <bylawNumber xmlns="e6cd7bd4-3f3e-4495-b8c9-139289cd76e6">4881-14</bylawNumber>
    <addressee xmlns="e6cd7bd4-3f3e-4495-b8c9-139289cd76e6" xsi:nil="true"/>
    <recordOriginatingLocation xmlns="e6cd7bd4-3f3e-4495-b8c9-139289cd76e6">workspace://SpacesStore/d0ef58b7-30fa-4cbe-a407-3231a334a8d3</recordOriginatingLocation>
    <agreementNumber xmlns="e6cd7bd4-3f3e-4495-b8c9-139289cd76e6">L04-043</agreementNumber>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CBB52FBD-4F66-49A3-B96A-2477FF53F8E9}">
  <ds:schemaRefs>
    <ds:schemaRef ds:uri="http://schemas.openxmlformats.org/officeDocument/2006/bibliography"/>
  </ds:schemaRefs>
</ds:datastoreItem>
</file>

<file path=customXml/itemProps2.xml><?xml version="1.0" encoding="utf-8"?>
<ds:datastoreItem xmlns:ds="http://schemas.openxmlformats.org/officeDocument/2006/customXml" ds:itemID="{45C05E39-63C1-43E7-A329-15824145C3CE}"/>
</file>

<file path=customXml/itemProps3.xml><?xml version="1.0" encoding="utf-8"?>
<ds:datastoreItem xmlns:ds="http://schemas.openxmlformats.org/officeDocument/2006/customXml" ds:itemID="{24E4BD3E-7D5A-4282-A6C0-26C576CC4367}"/>
</file>

<file path=customXml/itemProps4.xml><?xml version="1.0" encoding="utf-8"?>
<ds:datastoreItem xmlns:ds="http://schemas.openxmlformats.org/officeDocument/2006/customXml" ds:itemID="{6E6BF8F4-FC71-4EB6-BA37-A1D1BE46E1F4}"/>
</file>

<file path=customXml/itemProps5.xml><?xml version="1.0" encoding="utf-8"?>
<ds:datastoreItem xmlns:ds="http://schemas.openxmlformats.org/officeDocument/2006/customXml" ds:itemID="{1AEA9C4D-9A7F-4215-8F4D-FC442B40E7E2}"/>
</file>

<file path=docProps/app.xml><?xml version="1.0" encoding="utf-8"?>
<Properties xmlns="http://schemas.openxmlformats.org/officeDocument/2006/extended-properties" xmlns:vt="http://schemas.openxmlformats.org/officeDocument/2006/docPropsVTypes">
  <Template>Normal.dotm</Template>
  <TotalTime>54</TotalTime>
  <Pages>10</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Nunno, Kathie</cp:lastModifiedBy>
  <cp:revision>8</cp:revision>
  <cp:lastPrinted>2014-11-20T18:54:00Z</cp:lastPrinted>
  <dcterms:created xsi:type="dcterms:W3CDTF">2014-11-20T17:58:00Z</dcterms:created>
  <dcterms:modified xsi:type="dcterms:W3CDTF">2014-12-04T20:23:00Z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