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86DA9" w14:textId="77777777" w:rsidR="00C465B4" w:rsidRDefault="00E75CC3">
      <w:pPr>
        <w:pStyle w:val="Title"/>
        <w:spacing w:before="59"/>
      </w:pPr>
      <w:r>
        <w:t>Corporation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Grey</w:t>
      </w:r>
    </w:p>
    <w:p w14:paraId="17186DAA" w14:textId="0B3F2851" w:rsidR="00C465B4" w:rsidRPr="00412193" w:rsidRDefault="00E75CC3">
      <w:pPr>
        <w:pStyle w:val="Title"/>
        <w:tabs>
          <w:tab w:val="left" w:pos="2788"/>
          <w:tab w:val="left" w:pos="9367"/>
        </w:tabs>
        <w:ind w:right="468"/>
      </w:pPr>
      <w:r w:rsidRPr="00412193">
        <w:tab/>
        <w:t>By-Law</w:t>
      </w:r>
      <w:r w:rsidRPr="00412193">
        <w:rPr>
          <w:spacing w:val="-11"/>
        </w:rPr>
        <w:t xml:space="preserve"> </w:t>
      </w:r>
      <w:r w:rsidRPr="00412193">
        <w:t>5</w:t>
      </w:r>
      <w:r w:rsidR="00403564">
        <w:t>179</w:t>
      </w:r>
      <w:r w:rsidRPr="00412193">
        <w:t>-</w:t>
      </w:r>
      <w:r w:rsidRPr="00412193">
        <w:rPr>
          <w:spacing w:val="-5"/>
        </w:rPr>
        <w:t>2</w:t>
      </w:r>
      <w:r w:rsidR="00BB4243">
        <w:rPr>
          <w:spacing w:val="-5"/>
        </w:rPr>
        <w:t>4</w:t>
      </w:r>
      <w:r w:rsidRPr="00412193">
        <w:tab/>
      </w:r>
    </w:p>
    <w:p w14:paraId="17186DAB" w14:textId="58B45FC4" w:rsidR="00C465B4" w:rsidRDefault="00E75CC3">
      <w:pPr>
        <w:spacing w:before="231" w:line="276" w:lineRule="auto"/>
        <w:ind w:right="422"/>
        <w:jc w:val="center"/>
        <w:rPr>
          <w:sz w:val="32"/>
        </w:rPr>
      </w:pPr>
      <w:bookmarkStart w:id="0" w:name="A_By-law_to_Establish_Tax_Policy_and_Lev"/>
      <w:bookmarkEnd w:id="0"/>
      <w:r>
        <w:rPr>
          <w:sz w:val="32"/>
        </w:rPr>
        <w:t>A</w:t>
      </w:r>
      <w:r>
        <w:rPr>
          <w:spacing w:val="-4"/>
          <w:sz w:val="32"/>
        </w:rPr>
        <w:t xml:space="preserve"> </w:t>
      </w:r>
      <w:r>
        <w:rPr>
          <w:sz w:val="32"/>
        </w:rPr>
        <w:t>By-law</w:t>
      </w:r>
      <w:r>
        <w:rPr>
          <w:spacing w:val="-5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Establish</w:t>
      </w:r>
      <w:r>
        <w:rPr>
          <w:spacing w:val="-5"/>
          <w:sz w:val="32"/>
        </w:rPr>
        <w:t xml:space="preserve"> </w:t>
      </w:r>
      <w:r>
        <w:rPr>
          <w:sz w:val="32"/>
        </w:rPr>
        <w:t>Tax</w:t>
      </w:r>
      <w:r>
        <w:rPr>
          <w:spacing w:val="-3"/>
          <w:sz w:val="32"/>
        </w:rPr>
        <w:t xml:space="preserve"> </w:t>
      </w:r>
      <w:r>
        <w:rPr>
          <w:sz w:val="32"/>
        </w:rPr>
        <w:t>Policy</w:t>
      </w:r>
      <w:r>
        <w:rPr>
          <w:spacing w:val="-6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Levy</w:t>
      </w:r>
      <w:r>
        <w:rPr>
          <w:spacing w:val="-3"/>
          <w:sz w:val="32"/>
        </w:rPr>
        <w:t xml:space="preserve"> </w:t>
      </w:r>
      <w:r>
        <w:rPr>
          <w:sz w:val="32"/>
        </w:rPr>
        <w:t>Taxes</w:t>
      </w:r>
      <w:r>
        <w:rPr>
          <w:spacing w:val="-3"/>
          <w:sz w:val="32"/>
        </w:rPr>
        <w:t xml:space="preserve"> </w:t>
      </w:r>
      <w:r>
        <w:rPr>
          <w:sz w:val="32"/>
        </w:rPr>
        <w:t>for</w:t>
      </w:r>
      <w:r>
        <w:rPr>
          <w:spacing w:val="-5"/>
          <w:sz w:val="32"/>
        </w:rPr>
        <w:t xml:space="preserve"> </w:t>
      </w:r>
      <w:r>
        <w:rPr>
          <w:sz w:val="32"/>
        </w:rPr>
        <w:t>Upper</w:t>
      </w:r>
      <w:r>
        <w:rPr>
          <w:spacing w:val="-5"/>
          <w:sz w:val="32"/>
        </w:rPr>
        <w:t xml:space="preserve"> </w:t>
      </w:r>
      <w:r>
        <w:rPr>
          <w:sz w:val="32"/>
        </w:rPr>
        <w:t>Tier Purposes for the Year 202</w:t>
      </w:r>
      <w:r w:rsidR="00BB4243">
        <w:rPr>
          <w:sz w:val="32"/>
        </w:rPr>
        <w:t>4</w:t>
      </w:r>
    </w:p>
    <w:p w14:paraId="17186DAC" w14:textId="47D25ED9" w:rsidR="00C465B4" w:rsidRDefault="00E75CC3">
      <w:pPr>
        <w:pStyle w:val="BodyText"/>
        <w:spacing w:before="121" w:line="276" w:lineRule="auto"/>
        <w:ind w:left="140" w:right="556"/>
        <w:jc w:val="both"/>
      </w:pPr>
      <w:r>
        <w:t xml:space="preserve">WHEREAS the Corporation of the County of Grey (hereinafter referred to as the </w:t>
      </w:r>
      <w:r>
        <w:rPr>
          <w:i/>
        </w:rPr>
        <w:t>“Municipality”</w:t>
      </w:r>
      <w:r>
        <w:t xml:space="preserve">) has by By-law No. </w:t>
      </w:r>
      <w:r w:rsidRPr="0029665D">
        <w:t>51</w:t>
      </w:r>
      <w:r w:rsidR="0029665D" w:rsidRPr="0029665D">
        <w:t>7</w:t>
      </w:r>
      <w:r w:rsidRPr="0029665D">
        <w:t>0-2</w:t>
      </w:r>
      <w:r w:rsidR="0029665D" w:rsidRPr="0029665D">
        <w:t>4</w:t>
      </w:r>
      <w:r>
        <w:t xml:space="preserve"> prepared and adopted the Estimates of Revenues and Expenditures for the Year 202</w:t>
      </w:r>
      <w:r w:rsidR="00BB4243">
        <w:t>4</w:t>
      </w:r>
      <w:r>
        <w:t xml:space="preserve"> for the purposes of the </w:t>
      </w:r>
      <w:r>
        <w:rPr>
          <w:i/>
        </w:rPr>
        <w:t xml:space="preserve">Municipality </w:t>
      </w:r>
      <w:r>
        <w:t xml:space="preserve">pursuant to s. 289 of the </w:t>
      </w:r>
      <w:r>
        <w:rPr>
          <w:i/>
        </w:rPr>
        <w:t xml:space="preserve">Municipal Act, </w:t>
      </w:r>
      <w:r>
        <w:t>2001, S.O. 2001 c.25, as amended (hereinafter referred to as the “</w:t>
      </w:r>
      <w:r>
        <w:rPr>
          <w:i/>
        </w:rPr>
        <w:t>Municipal Act</w:t>
      </w:r>
      <w:r>
        <w:t>”</w:t>
      </w:r>
      <w:proofErr w:type="gramStart"/>
      <w:r>
        <w:t>);</w:t>
      </w:r>
      <w:proofErr w:type="gramEnd"/>
    </w:p>
    <w:p w14:paraId="17186DAD" w14:textId="77777777" w:rsidR="00C465B4" w:rsidRDefault="00C465B4">
      <w:pPr>
        <w:pStyle w:val="BodyText"/>
        <w:spacing w:before="5"/>
        <w:ind w:left="0"/>
      </w:pPr>
    </w:p>
    <w:p w14:paraId="17186DAE" w14:textId="77777777" w:rsidR="00C465B4" w:rsidRDefault="00E75CC3">
      <w:pPr>
        <w:pStyle w:val="BodyText"/>
        <w:spacing w:before="0" w:line="276" w:lineRule="auto"/>
        <w:ind w:left="140" w:right="554"/>
        <w:jc w:val="both"/>
      </w:pPr>
      <w:r>
        <w:t xml:space="preserve">AND WHEREAS Section 308 of the </w:t>
      </w:r>
      <w:r>
        <w:rPr>
          <w:i/>
        </w:rPr>
        <w:t xml:space="preserve">Municipal Act </w:t>
      </w:r>
      <w:r>
        <w:t>provides that each upper-tier municipality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ratios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prescribed</w:t>
      </w:r>
      <w:r>
        <w:rPr>
          <w:spacing w:val="-7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 xml:space="preserve">for both upper-tier and local municipal </w:t>
      </w:r>
      <w:proofErr w:type="gramStart"/>
      <w:r>
        <w:t>purposes;</w:t>
      </w:r>
      <w:proofErr w:type="gramEnd"/>
    </w:p>
    <w:p w14:paraId="17186DAF" w14:textId="77777777" w:rsidR="00C465B4" w:rsidRDefault="00C465B4">
      <w:pPr>
        <w:pStyle w:val="BodyText"/>
        <w:spacing w:before="8"/>
        <w:ind w:left="0"/>
        <w:rPr>
          <w:sz w:val="20"/>
        </w:rPr>
      </w:pPr>
    </w:p>
    <w:p w14:paraId="17186DB0" w14:textId="77777777" w:rsidR="00C465B4" w:rsidRDefault="00E75CC3">
      <w:pPr>
        <w:pStyle w:val="BodyText"/>
        <w:spacing w:before="0" w:line="264" w:lineRule="auto"/>
        <w:ind w:left="140" w:right="557"/>
        <w:jc w:val="both"/>
      </w:pPr>
      <w:r>
        <w:t>AND WHEREAS pursuant to Ontario Regulation 311/01 the City of Owen Sound shall establish tax ratios that will apply for both local and upper-tier purposes within that City and that such ratios may be separate and distinct from the tax ratios established by the County; and</w:t>
      </w:r>
    </w:p>
    <w:p w14:paraId="17186DB1" w14:textId="77777777" w:rsidR="00C465B4" w:rsidRDefault="00C465B4">
      <w:pPr>
        <w:pStyle w:val="BodyText"/>
        <w:spacing w:before="5"/>
        <w:ind w:left="0"/>
      </w:pPr>
    </w:p>
    <w:p w14:paraId="17186DB2" w14:textId="77777777" w:rsidR="00C465B4" w:rsidRDefault="00E75CC3">
      <w:pPr>
        <w:pStyle w:val="BodyText"/>
        <w:spacing w:before="0" w:line="276" w:lineRule="auto"/>
        <w:ind w:left="140" w:right="554"/>
        <w:jc w:val="both"/>
      </w:pPr>
      <w:r>
        <w:t xml:space="preserve">AND WHEREAS Sections 313 and 313.1 of the </w:t>
      </w:r>
      <w:r>
        <w:rPr>
          <w:i/>
        </w:rPr>
        <w:t xml:space="preserve">Municipal Act </w:t>
      </w:r>
      <w:r>
        <w:t xml:space="preserve">provide that each upper- tier shall establish the treatment of the prescribed property subclass that will apply for both upper-tier and local municipal </w:t>
      </w:r>
      <w:proofErr w:type="gramStart"/>
      <w:r>
        <w:t>purposes;</w:t>
      </w:r>
      <w:proofErr w:type="gramEnd"/>
    </w:p>
    <w:p w14:paraId="17186DB3" w14:textId="77777777" w:rsidR="00C465B4" w:rsidRDefault="00C465B4">
      <w:pPr>
        <w:pStyle w:val="BodyText"/>
        <w:spacing w:before="5"/>
        <w:ind w:left="0"/>
      </w:pPr>
    </w:p>
    <w:p w14:paraId="17186DB4" w14:textId="77777777" w:rsidR="00C465B4" w:rsidRDefault="00E75CC3">
      <w:pPr>
        <w:pStyle w:val="BodyText"/>
        <w:spacing w:before="0" w:line="276" w:lineRule="auto"/>
        <w:ind w:left="139" w:right="555"/>
        <w:jc w:val="both"/>
      </w:pPr>
      <w:r>
        <w:t xml:space="preserve">AND WHEREAS Section 311 of the </w:t>
      </w:r>
      <w:r>
        <w:rPr>
          <w:i/>
        </w:rPr>
        <w:t xml:space="preserve">Municipal Act </w:t>
      </w:r>
      <w:r>
        <w:t>provides for the establishment of tax rates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levied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upper-tier</w:t>
      </w:r>
      <w:r>
        <w:rPr>
          <w:spacing w:val="-12"/>
        </w:rPr>
        <w:t xml:space="preserve"> </w:t>
      </w:r>
      <w:r>
        <w:t>municipal</w:t>
      </w:r>
      <w:r>
        <w:rPr>
          <w:spacing w:val="-12"/>
        </w:rPr>
        <w:t xml:space="preserve"> </w:t>
      </w:r>
      <w:r>
        <w:t>purposes,</w:t>
      </w:r>
      <w:r>
        <w:rPr>
          <w:spacing w:val="-13"/>
        </w:rPr>
        <w:t xml:space="preserve"> </w:t>
      </w:r>
      <w:r>
        <w:t>estimates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amounts</w:t>
      </w:r>
      <w:r>
        <w:rPr>
          <w:spacing w:val="-12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 xml:space="preserve">rates will raise within each local area municipality, and the structure of installments by which those estimates will be paid to the upper-tier </w:t>
      </w:r>
      <w:proofErr w:type="gramStart"/>
      <w:r>
        <w:t>municipality;</w:t>
      </w:r>
      <w:proofErr w:type="gramEnd"/>
    </w:p>
    <w:p w14:paraId="17186DB5" w14:textId="77777777" w:rsidR="00C465B4" w:rsidRDefault="00C465B4">
      <w:pPr>
        <w:pStyle w:val="BodyText"/>
        <w:spacing w:before="3"/>
        <w:ind w:left="0"/>
      </w:pPr>
    </w:p>
    <w:p w14:paraId="17186DB6" w14:textId="77777777" w:rsidR="00C465B4" w:rsidRDefault="00E75CC3">
      <w:pPr>
        <w:pStyle w:val="BodyText"/>
        <w:spacing w:before="0" w:line="276" w:lineRule="auto"/>
        <w:ind w:left="139" w:right="556"/>
        <w:jc w:val="both"/>
      </w:pPr>
      <w:r>
        <w:t xml:space="preserve">AND WHEREAS property classes and property subclasses have been prescribed pursuant to Sections 7 and 8 of the </w:t>
      </w:r>
      <w:r>
        <w:rPr>
          <w:i/>
        </w:rPr>
        <w:t>Assessment Act</w:t>
      </w:r>
      <w:r>
        <w:t xml:space="preserve">, R.S.O. 1990, c. A31, as amended (hereinafter referred to as the </w:t>
      </w:r>
      <w:r>
        <w:rPr>
          <w:i/>
        </w:rPr>
        <w:t>"Assessment Act</w:t>
      </w:r>
      <w:r>
        <w:t>"</w:t>
      </w:r>
      <w:proofErr w:type="gramStart"/>
      <w:r>
        <w:t>);</w:t>
      </w:r>
      <w:proofErr w:type="gramEnd"/>
    </w:p>
    <w:p w14:paraId="17186DB7" w14:textId="77777777" w:rsidR="00C465B4" w:rsidRDefault="00C465B4">
      <w:pPr>
        <w:pStyle w:val="BodyText"/>
        <w:spacing w:before="5"/>
        <w:ind w:left="0"/>
      </w:pPr>
    </w:p>
    <w:p w14:paraId="17186DB8" w14:textId="40467D7F" w:rsidR="00C465B4" w:rsidRDefault="00E75CC3">
      <w:pPr>
        <w:pStyle w:val="BodyText"/>
        <w:spacing w:before="0" w:line="276" w:lineRule="auto"/>
        <w:ind w:left="139" w:right="556"/>
        <w:jc w:val="both"/>
      </w:pPr>
      <w:r>
        <w:t>AND WHEREAS all property assessment rolls on which the 202</w:t>
      </w:r>
      <w:r w:rsidR="00E60F60">
        <w:t>4</w:t>
      </w:r>
      <w:r>
        <w:t xml:space="preserve"> taxes are to be levied have been returned and revised pursuant to the provisions of the </w:t>
      </w:r>
      <w:r>
        <w:rPr>
          <w:i/>
        </w:rPr>
        <w:t xml:space="preserve">Assessment </w:t>
      </w:r>
      <w:proofErr w:type="gramStart"/>
      <w:r>
        <w:rPr>
          <w:i/>
        </w:rPr>
        <w:t>Act</w:t>
      </w:r>
      <w:r>
        <w:t>;</w:t>
      </w:r>
      <w:proofErr w:type="gramEnd"/>
    </w:p>
    <w:p w14:paraId="17186DB9" w14:textId="77777777" w:rsidR="00C465B4" w:rsidRDefault="00C465B4">
      <w:pPr>
        <w:spacing w:line="276" w:lineRule="auto"/>
        <w:jc w:val="both"/>
        <w:sectPr w:rsidR="00C465B4" w:rsidSect="002B64CA">
          <w:type w:val="continuous"/>
          <w:pgSz w:w="12240" w:h="15840"/>
          <w:pgMar w:top="1380" w:right="880" w:bottom="280" w:left="1300" w:header="720" w:footer="720" w:gutter="0"/>
          <w:cols w:space="720"/>
        </w:sectPr>
      </w:pPr>
    </w:p>
    <w:p w14:paraId="17186DBA" w14:textId="77777777" w:rsidR="00C465B4" w:rsidRDefault="00E75CC3">
      <w:pPr>
        <w:pStyle w:val="BodyText"/>
        <w:spacing w:before="80" w:line="276" w:lineRule="auto"/>
        <w:ind w:left="1064" w:right="1019" w:firstLine="516"/>
      </w:pPr>
      <w:r>
        <w:t>NOW THEREFORE BE IT RESOLVED THAT THE COUNCIL OF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GREY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ENACTS</w:t>
      </w:r>
      <w:r>
        <w:rPr>
          <w:spacing w:val="-4"/>
        </w:rPr>
        <w:t xml:space="preserve"> </w:t>
      </w:r>
      <w:r>
        <w:t>AS</w:t>
      </w:r>
    </w:p>
    <w:p w14:paraId="17186DBB" w14:textId="76BCBFC1" w:rsidR="00C465B4" w:rsidRDefault="00E75CC3">
      <w:pPr>
        <w:pStyle w:val="BodyText"/>
        <w:spacing w:before="0" w:line="275" w:lineRule="exact"/>
        <w:ind w:left="1971"/>
      </w:pPr>
      <w:r>
        <w:t>FOLLOWS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</w:t>
      </w:r>
      <w:r w:rsidR="00E60F60">
        <w:t>4</w:t>
      </w:r>
      <w:r>
        <w:rPr>
          <w:spacing w:val="-2"/>
        </w:rPr>
        <w:t xml:space="preserve"> </w:t>
      </w:r>
      <w:r>
        <w:t>TAXATION</w:t>
      </w:r>
      <w:r>
        <w:rPr>
          <w:spacing w:val="-2"/>
        </w:rPr>
        <w:t xml:space="preserve"> YEAR:</w:t>
      </w:r>
    </w:p>
    <w:p w14:paraId="17186DBC" w14:textId="77777777" w:rsidR="00C465B4" w:rsidRDefault="00C465B4">
      <w:pPr>
        <w:pStyle w:val="BodyText"/>
        <w:spacing w:before="1"/>
        <w:ind w:left="0"/>
        <w:rPr>
          <w:sz w:val="21"/>
        </w:rPr>
      </w:pPr>
    </w:p>
    <w:p w14:paraId="17186DBD" w14:textId="46FDE342" w:rsidR="00C465B4" w:rsidRDefault="00E75CC3">
      <w:pPr>
        <w:pStyle w:val="ListParagraph"/>
        <w:numPr>
          <w:ilvl w:val="0"/>
          <w:numId w:val="1"/>
        </w:numPr>
        <w:tabs>
          <w:tab w:val="left" w:pos="860"/>
        </w:tabs>
        <w:spacing w:before="0"/>
        <w:ind w:right="555"/>
        <w:jc w:val="both"/>
        <w:rPr>
          <w:sz w:val="24"/>
        </w:rPr>
      </w:pPr>
      <w:r>
        <w:rPr>
          <w:sz w:val="24"/>
        </w:rPr>
        <w:t>For the 202</w:t>
      </w:r>
      <w:r w:rsidR="00E60F60">
        <w:rPr>
          <w:sz w:val="24"/>
        </w:rPr>
        <w:t>4</w:t>
      </w:r>
      <w:r>
        <w:rPr>
          <w:sz w:val="24"/>
        </w:rPr>
        <w:t xml:space="preserve"> Taxation Year, the County of Grey has prepared and adopted estimates of all sums required to be raised during the year for its own purposes against</w:t>
      </w:r>
      <w:r>
        <w:rPr>
          <w:spacing w:val="-10"/>
          <w:sz w:val="24"/>
        </w:rPr>
        <w:t xml:space="preserve"> </w:t>
      </w:r>
      <w:r>
        <w:rPr>
          <w:sz w:val="24"/>
        </w:rPr>
        <w:t>ratable</w:t>
      </w:r>
      <w:r>
        <w:rPr>
          <w:spacing w:val="-9"/>
          <w:sz w:val="24"/>
        </w:rPr>
        <w:t xml:space="preserve"> </w:t>
      </w:r>
      <w:r>
        <w:rPr>
          <w:sz w:val="24"/>
        </w:rPr>
        <w:t>property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property</w:t>
      </w:r>
      <w:r>
        <w:rPr>
          <w:spacing w:val="-10"/>
          <w:sz w:val="24"/>
        </w:rPr>
        <w:t xml:space="preserve"> </w:t>
      </w:r>
      <w:r>
        <w:rPr>
          <w:sz w:val="24"/>
        </w:rPr>
        <w:t>subject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payment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lieu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taxation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totaling</w:t>
      </w:r>
      <w:proofErr w:type="gramEnd"/>
    </w:p>
    <w:p w14:paraId="17186DBE" w14:textId="41D31CEA" w:rsidR="00C465B4" w:rsidRDefault="00E75CC3">
      <w:pPr>
        <w:pStyle w:val="BodyText"/>
        <w:spacing w:before="0"/>
        <w:ind w:left="860" w:right="555"/>
        <w:jc w:val="both"/>
      </w:pPr>
      <w:r w:rsidRPr="00D03667">
        <w:t>$</w:t>
      </w:r>
      <w:r w:rsidR="0029665D" w:rsidRPr="00D03667">
        <w:t>73</w:t>
      </w:r>
      <w:r w:rsidRPr="00D03667">
        <w:t>,9</w:t>
      </w:r>
      <w:r w:rsidR="00D03667" w:rsidRPr="00D03667">
        <w:t>20</w:t>
      </w:r>
      <w:r w:rsidRPr="00D03667">
        <w:t>,</w:t>
      </w:r>
      <w:r w:rsidR="00D03667">
        <w:t>220</w:t>
      </w:r>
      <w:r>
        <w:t xml:space="preserve"> pursuant to Section 289 of the </w:t>
      </w:r>
      <w:r>
        <w:rPr>
          <w:i/>
        </w:rPr>
        <w:t xml:space="preserve">Municipal Act </w:t>
      </w:r>
      <w:r>
        <w:t xml:space="preserve">as detailed as detailed in By-Law </w:t>
      </w:r>
      <w:r w:rsidRPr="0029665D">
        <w:t>51</w:t>
      </w:r>
      <w:r w:rsidR="0029665D" w:rsidRPr="0029665D">
        <w:t>7</w:t>
      </w:r>
      <w:r w:rsidRPr="0029665D">
        <w:t>0-2</w:t>
      </w:r>
      <w:r w:rsidR="0029665D">
        <w:t>4</w:t>
      </w:r>
    </w:p>
    <w:p w14:paraId="17186DBF" w14:textId="77777777" w:rsidR="00C465B4" w:rsidRDefault="00E75CC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99"/>
        <w:ind w:right="555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ratios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upper-tier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 the property classes shall be:</w:t>
      </w:r>
    </w:p>
    <w:p w14:paraId="17186DC0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rPr>
          <w:sz w:val="24"/>
        </w:rPr>
      </w:pPr>
      <w:r>
        <w:rPr>
          <w:sz w:val="24"/>
        </w:rPr>
        <w:t>1.000000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6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class;</w:t>
      </w:r>
      <w:proofErr w:type="gramEnd"/>
    </w:p>
    <w:p w14:paraId="17186DC1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spacing w:before="121"/>
        <w:rPr>
          <w:sz w:val="24"/>
        </w:rPr>
      </w:pPr>
      <w:r>
        <w:rPr>
          <w:sz w:val="24"/>
        </w:rPr>
        <w:t>1.000000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multi-residential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class;</w:t>
      </w:r>
      <w:proofErr w:type="gramEnd"/>
    </w:p>
    <w:p w14:paraId="17186DC2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rPr>
          <w:sz w:val="24"/>
        </w:rPr>
      </w:pPr>
      <w:r>
        <w:rPr>
          <w:sz w:val="24"/>
        </w:rPr>
        <w:t>0.218000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farmland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class;</w:t>
      </w:r>
      <w:proofErr w:type="gramEnd"/>
    </w:p>
    <w:p w14:paraId="17186DC3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rPr>
          <w:sz w:val="24"/>
        </w:rPr>
      </w:pPr>
      <w:r>
        <w:rPr>
          <w:sz w:val="24"/>
        </w:rPr>
        <w:t>0.250000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forest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class;</w:t>
      </w:r>
      <w:proofErr w:type="gramEnd"/>
    </w:p>
    <w:p w14:paraId="17186DC4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rPr>
          <w:sz w:val="24"/>
        </w:rPr>
      </w:pPr>
      <w:r>
        <w:rPr>
          <w:sz w:val="24"/>
        </w:rPr>
        <w:t>1.000000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resort</w:t>
      </w:r>
      <w:r>
        <w:rPr>
          <w:spacing w:val="-5"/>
          <w:sz w:val="24"/>
        </w:rPr>
        <w:t xml:space="preserve"> </w:t>
      </w:r>
      <w:r>
        <w:rPr>
          <w:sz w:val="24"/>
        </w:rPr>
        <w:t>condominium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class;</w:t>
      </w:r>
      <w:proofErr w:type="gramEnd"/>
    </w:p>
    <w:p w14:paraId="17186DC5" w14:textId="123EECDF" w:rsidR="00C465B4" w:rsidRPr="00E81A11" w:rsidRDefault="00E75CC3" w:rsidP="595C2392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rPr>
          <w:sz w:val="24"/>
          <w:szCs w:val="24"/>
        </w:rPr>
      </w:pPr>
      <w:r w:rsidRPr="595C2392">
        <w:rPr>
          <w:sz w:val="24"/>
          <w:szCs w:val="24"/>
        </w:rPr>
        <w:t>1.</w:t>
      </w:r>
      <w:r w:rsidR="2C364148" w:rsidRPr="595C2392">
        <w:rPr>
          <w:sz w:val="24"/>
          <w:szCs w:val="24"/>
        </w:rPr>
        <w:t>220600</w:t>
      </w:r>
      <w:r w:rsidRPr="595C2392">
        <w:rPr>
          <w:spacing w:val="-5"/>
          <w:sz w:val="24"/>
          <w:szCs w:val="24"/>
        </w:rPr>
        <w:t xml:space="preserve"> </w:t>
      </w:r>
      <w:r w:rsidRPr="595C2392">
        <w:rPr>
          <w:sz w:val="24"/>
          <w:szCs w:val="24"/>
        </w:rPr>
        <w:t>for</w:t>
      </w:r>
      <w:r w:rsidRPr="595C2392">
        <w:rPr>
          <w:spacing w:val="-6"/>
          <w:sz w:val="24"/>
          <w:szCs w:val="24"/>
        </w:rPr>
        <w:t xml:space="preserve"> </w:t>
      </w:r>
      <w:r w:rsidRPr="595C2392">
        <w:rPr>
          <w:sz w:val="24"/>
          <w:szCs w:val="24"/>
        </w:rPr>
        <w:t>multi-residential</w:t>
      </w:r>
      <w:r w:rsidRPr="595C2392">
        <w:rPr>
          <w:spacing w:val="-5"/>
          <w:sz w:val="24"/>
          <w:szCs w:val="24"/>
        </w:rPr>
        <w:t xml:space="preserve"> </w:t>
      </w:r>
      <w:proofErr w:type="gramStart"/>
      <w:r w:rsidRPr="595C2392">
        <w:rPr>
          <w:spacing w:val="-2"/>
          <w:sz w:val="24"/>
          <w:szCs w:val="24"/>
        </w:rPr>
        <w:t>class;</w:t>
      </w:r>
      <w:proofErr w:type="gramEnd"/>
    </w:p>
    <w:p w14:paraId="17186DC6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rPr>
          <w:sz w:val="24"/>
        </w:rPr>
      </w:pPr>
      <w:r>
        <w:rPr>
          <w:sz w:val="24"/>
        </w:rPr>
        <w:t>1.296900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class;</w:t>
      </w:r>
      <w:proofErr w:type="gramEnd"/>
    </w:p>
    <w:p w14:paraId="17186DC7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rPr>
          <w:sz w:val="24"/>
        </w:rPr>
      </w:pPr>
      <w:r>
        <w:rPr>
          <w:sz w:val="24"/>
        </w:rPr>
        <w:t>1.831000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class;</w:t>
      </w:r>
      <w:proofErr w:type="gramEnd"/>
    </w:p>
    <w:p w14:paraId="17186DC8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1.000000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landfill</w:t>
      </w:r>
      <w:r>
        <w:rPr>
          <w:spacing w:val="-3"/>
          <w:sz w:val="24"/>
        </w:rPr>
        <w:t xml:space="preserve"> </w:t>
      </w:r>
      <w:r>
        <w:rPr>
          <w:sz w:val="24"/>
        </w:rPr>
        <w:t>class;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7186DC9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0.906848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pipeline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class;</w:t>
      </w:r>
      <w:proofErr w:type="gramEnd"/>
    </w:p>
    <w:p w14:paraId="17186DCA" w14:textId="77777777" w:rsidR="00C465B4" w:rsidRDefault="00C465B4">
      <w:pPr>
        <w:pStyle w:val="BodyText"/>
        <w:spacing w:before="0"/>
        <w:ind w:left="0"/>
        <w:rPr>
          <w:sz w:val="26"/>
        </w:rPr>
      </w:pPr>
    </w:p>
    <w:p w14:paraId="17186DCB" w14:textId="77777777" w:rsidR="00C465B4" w:rsidRDefault="00E75CC3">
      <w:pPr>
        <w:pStyle w:val="ListParagraph"/>
        <w:numPr>
          <w:ilvl w:val="0"/>
          <w:numId w:val="1"/>
        </w:numPr>
        <w:tabs>
          <w:tab w:val="left" w:pos="860"/>
        </w:tabs>
        <w:spacing w:before="217"/>
        <w:ind w:right="554"/>
        <w:jc w:val="both"/>
        <w:rPr>
          <w:sz w:val="24"/>
        </w:rPr>
      </w:pPr>
      <w:r>
        <w:rPr>
          <w:sz w:val="24"/>
        </w:rPr>
        <w:t xml:space="preserve">The tax rates that would otherwise be levied for upper-tier and local municipal purposes for the subclasses prescribed under paragraph 1 of Subsection 8(1) of the Assessment Act shall be reduced as </w:t>
      </w:r>
      <w:proofErr w:type="gramStart"/>
      <w:r>
        <w:rPr>
          <w:sz w:val="24"/>
        </w:rPr>
        <w:t>follows;</w:t>
      </w:r>
      <w:proofErr w:type="gramEnd"/>
    </w:p>
    <w:p w14:paraId="17186DCC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ind w:right="558"/>
        <w:jc w:val="both"/>
        <w:rPr>
          <w:sz w:val="24"/>
        </w:rPr>
      </w:pPr>
      <w:r>
        <w:rPr>
          <w:sz w:val="24"/>
        </w:rPr>
        <w:t xml:space="preserve">For the first subclass of farmland awaiting development in the residential/farm property class by 75 per </w:t>
      </w:r>
      <w:proofErr w:type="gramStart"/>
      <w:r>
        <w:rPr>
          <w:sz w:val="24"/>
        </w:rPr>
        <w:t>cent;</w:t>
      </w:r>
      <w:proofErr w:type="gramEnd"/>
    </w:p>
    <w:p w14:paraId="17186DCD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ind w:right="556"/>
        <w:jc w:val="both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subclass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farmland</w:t>
      </w:r>
      <w:r>
        <w:rPr>
          <w:spacing w:val="-2"/>
          <w:sz w:val="24"/>
        </w:rPr>
        <w:t xml:space="preserve"> </w:t>
      </w:r>
      <w:r>
        <w:rPr>
          <w:sz w:val="24"/>
        </w:rPr>
        <w:t>awaiting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classes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matches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 first subclass of in the residential/farm property class; and</w:t>
      </w:r>
    </w:p>
    <w:p w14:paraId="17186DCE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ind w:right="555"/>
        <w:jc w:val="both"/>
        <w:rPr>
          <w:sz w:val="24"/>
        </w:rPr>
      </w:pPr>
      <w:r>
        <w:rPr>
          <w:sz w:val="24"/>
        </w:rPr>
        <w:t>No reduction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subclass</w:t>
      </w:r>
      <w:r>
        <w:rPr>
          <w:spacing w:val="-2"/>
          <w:sz w:val="24"/>
        </w:rPr>
        <w:t xml:space="preserve"> </w:t>
      </w:r>
      <w:r>
        <w:rPr>
          <w:sz w:val="24"/>
        </w:rPr>
        <w:t>of farmland</w:t>
      </w:r>
      <w:r>
        <w:rPr>
          <w:spacing w:val="-2"/>
          <w:sz w:val="24"/>
        </w:rPr>
        <w:t xml:space="preserve"> </w:t>
      </w:r>
      <w:r>
        <w:rPr>
          <w:sz w:val="24"/>
        </w:rPr>
        <w:t>awaiting development for any property class.</w:t>
      </w:r>
    </w:p>
    <w:p w14:paraId="17186DCF" w14:textId="77777777" w:rsidR="00C465B4" w:rsidRDefault="00C465B4">
      <w:pPr>
        <w:pStyle w:val="BodyText"/>
        <w:spacing w:before="0"/>
        <w:ind w:left="0"/>
        <w:rPr>
          <w:sz w:val="26"/>
        </w:rPr>
      </w:pPr>
    </w:p>
    <w:p w14:paraId="17186DD0" w14:textId="77777777" w:rsidR="00C465B4" w:rsidRDefault="00E75CC3">
      <w:pPr>
        <w:pStyle w:val="ListParagraph"/>
        <w:numPr>
          <w:ilvl w:val="0"/>
          <w:numId w:val="1"/>
        </w:numPr>
        <w:tabs>
          <w:tab w:val="left" w:pos="860"/>
        </w:tabs>
        <w:spacing w:before="217"/>
        <w:ind w:right="556"/>
        <w:jc w:val="both"/>
        <w:rPr>
          <w:sz w:val="24"/>
        </w:rPr>
      </w:pPr>
      <w:r>
        <w:rPr>
          <w:sz w:val="24"/>
        </w:rPr>
        <w:t xml:space="preserve">That in accordance with Subsection 313(1.3) of the </w:t>
      </w:r>
      <w:r>
        <w:rPr>
          <w:i/>
          <w:sz w:val="24"/>
        </w:rPr>
        <w:t>Municipal Act</w:t>
      </w:r>
      <w:r>
        <w:rPr>
          <w:sz w:val="24"/>
        </w:rPr>
        <w:t xml:space="preserve">, no tax rate reductions shall be applied to the vacant or excess land subclasses prescribed under paragraphs 2 or 3 of Subsection 8(1) of the </w:t>
      </w:r>
      <w:r>
        <w:rPr>
          <w:i/>
          <w:sz w:val="24"/>
        </w:rPr>
        <w:t xml:space="preserve">Assessment </w:t>
      </w:r>
      <w:proofErr w:type="gramStart"/>
      <w:r>
        <w:rPr>
          <w:i/>
          <w:sz w:val="24"/>
        </w:rPr>
        <w:t>Act</w:t>
      </w:r>
      <w:r>
        <w:rPr>
          <w:sz w:val="24"/>
        </w:rPr>
        <w:t>;</w:t>
      </w:r>
      <w:proofErr w:type="gramEnd"/>
    </w:p>
    <w:p w14:paraId="17186DD1" w14:textId="77777777" w:rsidR="00C465B4" w:rsidRDefault="00C465B4">
      <w:pPr>
        <w:jc w:val="both"/>
        <w:rPr>
          <w:sz w:val="24"/>
        </w:rPr>
        <w:sectPr w:rsidR="00C465B4" w:rsidSect="002B64CA">
          <w:pgSz w:w="12240" w:h="15840"/>
          <w:pgMar w:top="1360" w:right="880" w:bottom="280" w:left="1300" w:header="720" w:footer="720" w:gutter="0"/>
          <w:cols w:space="720"/>
        </w:sectPr>
      </w:pPr>
    </w:p>
    <w:p w14:paraId="17186DD2" w14:textId="77777777" w:rsidR="00C465B4" w:rsidRDefault="00E75CC3">
      <w:pPr>
        <w:pStyle w:val="ListParagraph"/>
        <w:numPr>
          <w:ilvl w:val="0"/>
          <w:numId w:val="1"/>
        </w:numPr>
        <w:tabs>
          <w:tab w:val="left" w:pos="620"/>
        </w:tabs>
        <w:spacing w:before="80"/>
        <w:ind w:left="620" w:right="554" w:hanging="480"/>
        <w:jc w:val="both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lower-tier</w:t>
      </w:r>
      <w:r>
        <w:rPr>
          <w:spacing w:val="-11"/>
          <w:sz w:val="24"/>
        </w:rPr>
        <w:t xml:space="preserve"> </w:t>
      </w:r>
      <w:r>
        <w:rPr>
          <w:sz w:val="24"/>
        </w:rPr>
        <w:t>municipality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levy</w:t>
      </w:r>
      <w:r>
        <w:rPr>
          <w:spacing w:val="-8"/>
          <w:sz w:val="24"/>
        </w:rPr>
        <w:t xml:space="preserve"> </w:t>
      </w:r>
      <w:r>
        <w:rPr>
          <w:sz w:val="24"/>
        </w:rPr>
        <w:t>upon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rates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taxation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per current value assessment for general purposes set out in Schedule “A” attached </w:t>
      </w:r>
      <w:proofErr w:type="gramStart"/>
      <w:r>
        <w:rPr>
          <w:spacing w:val="-2"/>
          <w:sz w:val="24"/>
        </w:rPr>
        <w:t>hereto;</w:t>
      </w:r>
      <w:proofErr w:type="gramEnd"/>
    </w:p>
    <w:p w14:paraId="17186DD3" w14:textId="77777777" w:rsidR="00C465B4" w:rsidRDefault="00E75CC3">
      <w:pPr>
        <w:pStyle w:val="ListParagraph"/>
        <w:numPr>
          <w:ilvl w:val="0"/>
          <w:numId w:val="1"/>
        </w:numPr>
        <w:tabs>
          <w:tab w:val="left" w:pos="620"/>
        </w:tabs>
        <w:spacing w:before="199"/>
        <w:ind w:left="620" w:right="556" w:hanging="480"/>
        <w:jc w:val="both"/>
        <w:rPr>
          <w:sz w:val="24"/>
        </w:rPr>
      </w:pPr>
      <w:r>
        <w:rPr>
          <w:sz w:val="24"/>
        </w:rPr>
        <w:t xml:space="preserve">That despite sections 2 and 5 of this </w:t>
      </w:r>
      <w:proofErr w:type="gramStart"/>
      <w:r>
        <w:rPr>
          <w:sz w:val="24"/>
        </w:rPr>
        <w:t>by-law</w:t>
      </w:r>
      <w:proofErr w:type="gramEnd"/>
      <w:r>
        <w:rPr>
          <w:sz w:val="24"/>
        </w:rPr>
        <w:t>, and in accordance with Ontario Regulation 311/01, the City of Owen Sound shall establish tax ratios and rates to raise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City’s</w:t>
      </w:r>
      <w:r>
        <w:rPr>
          <w:spacing w:val="-3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County’s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levy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Schedule “</w:t>
      </w:r>
      <w:r w:rsidRPr="0007181F">
        <w:rPr>
          <w:sz w:val="24"/>
        </w:rPr>
        <w:t>A</w:t>
      </w:r>
      <w:r>
        <w:rPr>
          <w:sz w:val="24"/>
        </w:rPr>
        <w:t>” attached hereto;</w:t>
      </w:r>
    </w:p>
    <w:p w14:paraId="17186DD4" w14:textId="77777777" w:rsidR="00C465B4" w:rsidRDefault="00E75CC3">
      <w:pPr>
        <w:pStyle w:val="ListParagraph"/>
        <w:numPr>
          <w:ilvl w:val="0"/>
          <w:numId w:val="1"/>
        </w:numPr>
        <w:tabs>
          <w:tab w:val="left" w:pos="620"/>
        </w:tabs>
        <w:spacing w:before="202"/>
        <w:ind w:left="620" w:right="555" w:hanging="480"/>
        <w:jc w:val="both"/>
        <w:rPr>
          <w:sz w:val="24"/>
        </w:rPr>
      </w:pPr>
      <w:r>
        <w:rPr>
          <w:sz w:val="24"/>
        </w:rPr>
        <w:t xml:space="preserve">That pursuant to section 311 and 322 of the </w:t>
      </w:r>
      <w:r>
        <w:rPr>
          <w:i/>
          <w:sz w:val="24"/>
        </w:rPr>
        <w:t xml:space="preserve">Municipal Act, </w:t>
      </w:r>
      <w:r>
        <w:rPr>
          <w:sz w:val="24"/>
        </w:rPr>
        <w:t>and subject to any required adjustment, the amounts raised by each lower-tier municipality in accordance with Schedule “A” shall be paid to the Treasurer of the County in accordance with the following:</w:t>
      </w:r>
    </w:p>
    <w:p w14:paraId="17186DD5" w14:textId="77777777" w:rsidR="00C465B4" w:rsidRDefault="00C465B4">
      <w:pPr>
        <w:pStyle w:val="BodyText"/>
        <w:spacing w:before="3"/>
        <w:ind w:left="0"/>
        <w:rPr>
          <w:sz w:val="17"/>
        </w:r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291"/>
      </w:tblGrid>
      <w:tr w:rsidR="00C465B4" w14:paraId="17186DD8" w14:textId="77777777">
        <w:trPr>
          <w:trHeight w:val="460"/>
        </w:trPr>
        <w:tc>
          <w:tcPr>
            <w:tcW w:w="1709" w:type="dxa"/>
          </w:tcPr>
          <w:p w14:paraId="17186DD6" w14:textId="77777777" w:rsidR="00C465B4" w:rsidRDefault="00E75CC3">
            <w:pPr>
              <w:pStyle w:val="TableParagraph"/>
              <w:spacing w:line="230" w:lineRule="exact"/>
              <w:ind w:left="633" w:right="126" w:hanging="500"/>
              <w:rPr>
                <w:b/>
                <w:sz w:val="20"/>
              </w:rPr>
            </w:pPr>
            <w:r>
              <w:rPr>
                <w:b/>
                <w:sz w:val="20"/>
              </w:rPr>
              <w:t>Instalment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Due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7291" w:type="dxa"/>
          </w:tcPr>
          <w:p w14:paraId="17186DD7" w14:textId="77777777" w:rsidR="00C465B4" w:rsidRDefault="00E75CC3">
            <w:pPr>
              <w:pStyle w:val="TableParagraph"/>
              <w:spacing w:before="54"/>
              <w:ind w:left="2730" w:right="27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Instalment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C465B4" w14:paraId="17186DDB" w14:textId="77777777">
        <w:trPr>
          <w:trHeight w:val="350"/>
        </w:trPr>
        <w:tc>
          <w:tcPr>
            <w:tcW w:w="1709" w:type="dxa"/>
          </w:tcPr>
          <w:p w14:paraId="17186DD9" w14:textId="77777777" w:rsidR="00C465B4" w:rsidRDefault="00E75CC3">
            <w:pPr>
              <w:pStyle w:val="TableParagraph"/>
              <w:spacing w:before="59"/>
              <w:ind w:left="161" w:right="159"/>
              <w:jc w:val="center"/>
              <w:rPr>
                <w:sz w:val="13"/>
              </w:rPr>
            </w:pPr>
            <w:r>
              <w:rPr>
                <w:sz w:val="20"/>
              </w:rPr>
              <w:t>March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31</w:t>
            </w:r>
            <w:proofErr w:type="spellStart"/>
            <w:r>
              <w:rPr>
                <w:spacing w:val="-4"/>
                <w:position w:val="6"/>
                <w:sz w:val="13"/>
              </w:rPr>
              <w:t>st</w:t>
            </w:r>
            <w:proofErr w:type="spellEnd"/>
          </w:p>
        </w:tc>
        <w:tc>
          <w:tcPr>
            <w:tcW w:w="7291" w:type="dxa"/>
          </w:tcPr>
          <w:p w14:paraId="17186DDA" w14:textId="77777777" w:rsidR="00C465B4" w:rsidRDefault="00E75C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upper-tier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</w:tr>
      <w:tr w:rsidR="00C465B4" w14:paraId="17186DDE" w14:textId="77777777">
        <w:trPr>
          <w:trHeight w:val="580"/>
        </w:trPr>
        <w:tc>
          <w:tcPr>
            <w:tcW w:w="1709" w:type="dxa"/>
          </w:tcPr>
          <w:p w14:paraId="17186DDC" w14:textId="77777777" w:rsidR="00C465B4" w:rsidRDefault="00E75CC3">
            <w:pPr>
              <w:pStyle w:val="TableParagraph"/>
              <w:spacing w:before="174"/>
              <w:ind w:left="161" w:right="159"/>
              <w:jc w:val="center"/>
              <w:rPr>
                <w:sz w:val="13"/>
              </w:rPr>
            </w:pPr>
            <w:r>
              <w:rPr>
                <w:sz w:val="20"/>
              </w:rPr>
              <w:t>June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30</w:t>
            </w:r>
            <w:proofErr w:type="spellStart"/>
            <w:r>
              <w:rPr>
                <w:spacing w:val="-4"/>
                <w:position w:val="6"/>
                <w:sz w:val="13"/>
              </w:rPr>
              <w:t>th</w:t>
            </w:r>
            <w:proofErr w:type="spellEnd"/>
          </w:p>
        </w:tc>
        <w:tc>
          <w:tcPr>
            <w:tcW w:w="7291" w:type="dxa"/>
          </w:tcPr>
          <w:p w14:paraId="17186DDD" w14:textId="77777777" w:rsidR="00C465B4" w:rsidRDefault="00E75CC3">
            <w:pPr>
              <w:pStyle w:val="TableParagraph"/>
              <w:ind w:right="214"/>
              <w:rPr>
                <w:sz w:val="13"/>
              </w:rPr>
            </w:pP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upper-tier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amount of the March 31</w:t>
            </w:r>
            <w:proofErr w:type="spellStart"/>
            <w:r>
              <w:rPr>
                <w:position w:val="6"/>
                <w:sz w:val="13"/>
              </w:rPr>
              <w:t>st</w:t>
            </w:r>
            <w:proofErr w:type="spellEnd"/>
            <w:r>
              <w:rPr>
                <w:spacing w:val="34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instalment paid on or before June 30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</w:p>
        </w:tc>
      </w:tr>
      <w:tr w:rsidR="00C465B4" w14:paraId="17186DE1" w14:textId="77777777">
        <w:trPr>
          <w:trHeight w:val="350"/>
        </w:trPr>
        <w:tc>
          <w:tcPr>
            <w:tcW w:w="1709" w:type="dxa"/>
          </w:tcPr>
          <w:p w14:paraId="17186DDF" w14:textId="77777777" w:rsidR="00C465B4" w:rsidRDefault="00E75CC3">
            <w:pPr>
              <w:pStyle w:val="TableParagraph"/>
              <w:spacing w:before="59"/>
              <w:ind w:left="161" w:right="161"/>
              <w:jc w:val="center"/>
              <w:rPr>
                <w:sz w:val="13"/>
              </w:rPr>
            </w:pPr>
            <w:r>
              <w:rPr>
                <w:sz w:val="20"/>
              </w:rPr>
              <w:t>September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30</w:t>
            </w:r>
            <w:proofErr w:type="spellStart"/>
            <w:r>
              <w:rPr>
                <w:spacing w:val="-4"/>
                <w:position w:val="6"/>
                <w:sz w:val="13"/>
              </w:rPr>
              <w:t>th</w:t>
            </w:r>
            <w:proofErr w:type="spellEnd"/>
          </w:p>
        </w:tc>
        <w:tc>
          <w:tcPr>
            <w:tcW w:w="7291" w:type="dxa"/>
          </w:tcPr>
          <w:p w14:paraId="17186DE0" w14:textId="77777777" w:rsidR="00C465B4" w:rsidRDefault="00E75C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25%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upper-tier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</w:tr>
      <w:tr w:rsidR="00C465B4" w14:paraId="17186DE5" w14:textId="77777777">
        <w:trPr>
          <w:trHeight w:val="808"/>
        </w:trPr>
        <w:tc>
          <w:tcPr>
            <w:tcW w:w="1709" w:type="dxa"/>
          </w:tcPr>
          <w:p w14:paraId="17186DE2" w14:textId="77777777" w:rsidR="00C465B4" w:rsidRDefault="00C465B4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17186DE3" w14:textId="77777777" w:rsidR="00C465B4" w:rsidRDefault="00E75CC3">
            <w:pPr>
              <w:pStyle w:val="TableParagraph"/>
              <w:ind w:left="161" w:right="161"/>
              <w:jc w:val="center"/>
              <w:rPr>
                <w:sz w:val="13"/>
              </w:rPr>
            </w:pPr>
            <w:r>
              <w:rPr>
                <w:sz w:val="20"/>
              </w:rPr>
              <w:t>December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15</w:t>
            </w:r>
            <w:proofErr w:type="spellStart"/>
            <w:r>
              <w:rPr>
                <w:spacing w:val="-4"/>
                <w:position w:val="6"/>
                <w:sz w:val="13"/>
              </w:rPr>
              <w:t>th</w:t>
            </w:r>
            <w:proofErr w:type="spellEnd"/>
          </w:p>
        </w:tc>
        <w:tc>
          <w:tcPr>
            <w:tcW w:w="7291" w:type="dxa"/>
          </w:tcPr>
          <w:p w14:paraId="17186DE4" w14:textId="77777777" w:rsidR="00C465B4" w:rsidRDefault="00E75CC3">
            <w:pPr>
              <w:pStyle w:val="TableParagraph"/>
              <w:ind w:right="292"/>
              <w:jc w:val="both"/>
              <w:rPr>
                <w:sz w:val="20"/>
              </w:rPr>
            </w:pPr>
            <w:r>
              <w:rPr>
                <w:sz w:val="20"/>
              </w:rPr>
              <w:t>The balance of amount required for upper-tier purposes for the year including prescribed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subsequent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estimates for the year</w:t>
            </w:r>
          </w:p>
        </w:tc>
      </w:tr>
    </w:tbl>
    <w:p w14:paraId="17186DE6" w14:textId="77777777" w:rsidR="00C465B4" w:rsidRDefault="00C465B4">
      <w:pPr>
        <w:pStyle w:val="BodyText"/>
        <w:spacing w:before="0"/>
        <w:ind w:left="0"/>
        <w:rPr>
          <w:sz w:val="26"/>
        </w:rPr>
      </w:pPr>
    </w:p>
    <w:p w14:paraId="17186DE7" w14:textId="77777777" w:rsidR="00C465B4" w:rsidRDefault="00E75CC3">
      <w:pPr>
        <w:pStyle w:val="ListParagraph"/>
        <w:numPr>
          <w:ilvl w:val="0"/>
          <w:numId w:val="1"/>
        </w:numPr>
        <w:tabs>
          <w:tab w:val="left" w:pos="860"/>
        </w:tabs>
        <w:spacing w:before="175"/>
        <w:ind w:right="556"/>
        <w:jc w:val="both"/>
        <w:rPr>
          <w:sz w:val="24"/>
        </w:rPr>
      </w:pPr>
      <w:r>
        <w:rPr>
          <w:sz w:val="24"/>
        </w:rPr>
        <w:t>That for greater clarity, the December 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30"/>
          <w:position w:val="8"/>
          <w:sz w:val="16"/>
        </w:rPr>
        <w:t xml:space="preserve"> </w:t>
      </w:r>
      <w:r>
        <w:rPr>
          <w:sz w:val="24"/>
        </w:rPr>
        <w:t>payment shall include a reconciliation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upper-tier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municipalities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respect </w:t>
      </w:r>
      <w:r>
        <w:rPr>
          <w:spacing w:val="-4"/>
          <w:sz w:val="24"/>
        </w:rPr>
        <w:t>of:</w:t>
      </w:r>
    </w:p>
    <w:p w14:paraId="17186DE8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ind w:right="554"/>
        <w:jc w:val="both"/>
        <w:rPr>
          <w:sz w:val="24"/>
        </w:rPr>
      </w:pPr>
      <w:r>
        <w:rPr>
          <w:sz w:val="24"/>
        </w:rPr>
        <w:t xml:space="preserve">Railway and power utility lands pursuant to Section 315 of the </w:t>
      </w:r>
      <w:r>
        <w:rPr>
          <w:i/>
          <w:sz w:val="24"/>
        </w:rPr>
        <w:t>Municipal Act</w:t>
      </w:r>
      <w:r>
        <w:rPr>
          <w:sz w:val="24"/>
        </w:rPr>
        <w:t>; and</w:t>
      </w:r>
    </w:p>
    <w:p w14:paraId="17186DE9" w14:textId="77777777" w:rsidR="00C465B4" w:rsidRDefault="00E75CC3">
      <w:pPr>
        <w:pStyle w:val="ListParagraph"/>
        <w:numPr>
          <w:ilvl w:val="1"/>
          <w:numId w:val="1"/>
        </w:numPr>
        <w:tabs>
          <w:tab w:val="left" w:pos="1580"/>
        </w:tabs>
        <w:ind w:right="557"/>
        <w:jc w:val="both"/>
        <w:rPr>
          <w:sz w:val="24"/>
        </w:rPr>
      </w:pPr>
      <w:r>
        <w:rPr>
          <w:sz w:val="24"/>
        </w:rPr>
        <w:t>Universities and</w:t>
      </w:r>
      <w:r>
        <w:rPr>
          <w:spacing w:val="-1"/>
          <w:sz w:val="24"/>
        </w:rPr>
        <w:t xml:space="preserve"> </w:t>
      </w:r>
      <w:r>
        <w:rPr>
          <w:sz w:val="24"/>
        </w:rPr>
        <w:t>other institutions pursuant to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323 of the </w:t>
      </w:r>
      <w:r>
        <w:rPr>
          <w:i/>
          <w:sz w:val="24"/>
        </w:rPr>
        <w:t xml:space="preserve">Municipal </w:t>
      </w:r>
      <w:r>
        <w:rPr>
          <w:i/>
          <w:spacing w:val="-4"/>
          <w:sz w:val="24"/>
        </w:rPr>
        <w:t>Act</w:t>
      </w:r>
      <w:r>
        <w:rPr>
          <w:spacing w:val="-4"/>
          <w:sz w:val="24"/>
        </w:rPr>
        <w:t>.</w:t>
      </w:r>
    </w:p>
    <w:p w14:paraId="17186DEA" w14:textId="77777777" w:rsidR="00C465B4" w:rsidRDefault="00E75CC3">
      <w:pPr>
        <w:pStyle w:val="ListParagraph"/>
        <w:numPr>
          <w:ilvl w:val="0"/>
          <w:numId w:val="1"/>
        </w:numPr>
        <w:tabs>
          <w:tab w:val="left" w:pos="620"/>
        </w:tabs>
        <w:ind w:left="619" w:right="557" w:hanging="480"/>
        <w:jc w:val="both"/>
        <w:rPr>
          <w:sz w:val="24"/>
        </w:rPr>
      </w:pP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5"/>
          <w:sz w:val="24"/>
        </w:rPr>
        <w:t xml:space="preserve"> </w:t>
      </w:r>
      <w:r>
        <w:rPr>
          <w:sz w:val="24"/>
        </w:rPr>
        <w:t>311(18)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Act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lower-tier</w:t>
      </w:r>
      <w:r>
        <w:rPr>
          <w:spacing w:val="-5"/>
          <w:sz w:val="24"/>
        </w:rPr>
        <w:t xml:space="preserve"> </w:t>
      </w:r>
      <w:r>
        <w:rPr>
          <w:sz w:val="24"/>
        </w:rPr>
        <w:t>municipality</w:t>
      </w:r>
      <w:r>
        <w:rPr>
          <w:spacing w:val="-3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make any payment or portion thereof, as provided for in this By-law, the defaulting lower- tier municipality shall pay interest on the amount past due at the rate of 15% per annum (1.25% per month) from the date payment is due until it is made.</w:t>
      </w:r>
    </w:p>
    <w:p w14:paraId="17186DEB" w14:textId="77777777" w:rsidR="00C465B4" w:rsidRDefault="00E75CC3">
      <w:pPr>
        <w:pStyle w:val="ListParagraph"/>
        <w:numPr>
          <w:ilvl w:val="0"/>
          <w:numId w:val="1"/>
        </w:numPr>
        <w:tabs>
          <w:tab w:val="left" w:pos="620"/>
        </w:tabs>
        <w:spacing w:before="199"/>
        <w:ind w:left="620" w:hanging="481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By-law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effect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passing </w:t>
      </w:r>
      <w:r>
        <w:rPr>
          <w:spacing w:val="-2"/>
          <w:sz w:val="24"/>
        </w:rPr>
        <w:t>thereof.</w:t>
      </w:r>
    </w:p>
    <w:p w14:paraId="17186DEC" w14:textId="701CF173" w:rsidR="00C465B4" w:rsidRDefault="00E75CC3">
      <w:pPr>
        <w:pStyle w:val="ListParagraph"/>
        <w:numPr>
          <w:ilvl w:val="0"/>
          <w:numId w:val="1"/>
        </w:numPr>
        <w:tabs>
          <w:tab w:val="left" w:pos="620"/>
        </w:tabs>
        <w:spacing w:before="199" w:line="446" w:lineRule="auto"/>
        <w:ind w:left="140" w:right="3167" w:firstLine="0"/>
        <w:rPr>
          <w:sz w:val="24"/>
        </w:rPr>
      </w:pP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“A”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hereto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By-law. ENACTED AND PASSED this 1</w:t>
      </w:r>
      <w:r w:rsidR="006D56B3">
        <w:rPr>
          <w:sz w:val="24"/>
        </w:rPr>
        <w:t>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36"/>
          <w:position w:val="8"/>
          <w:sz w:val="16"/>
        </w:rPr>
        <w:t xml:space="preserve"> </w:t>
      </w:r>
      <w:r>
        <w:rPr>
          <w:sz w:val="24"/>
        </w:rPr>
        <w:t xml:space="preserve">day of </w:t>
      </w:r>
      <w:proofErr w:type="gramStart"/>
      <w:r>
        <w:rPr>
          <w:sz w:val="24"/>
        </w:rPr>
        <w:t>Ma</w:t>
      </w:r>
      <w:r w:rsidR="006D56B3">
        <w:rPr>
          <w:sz w:val="24"/>
        </w:rPr>
        <w:t>rch</w:t>
      </w:r>
      <w:r>
        <w:rPr>
          <w:sz w:val="24"/>
        </w:rPr>
        <w:t>,</w:t>
      </w:r>
      <w:proofErr w:type="gramEnd"/>
      <w:r>
        <w:rPr>
          <w:sz w:val="24"/>
        </w:rPr>
        <w:t xml:space="preserve"> 202</w:t>
      </w:r>
      <w:r w:rsidR="006D56B3">
        <w:rPr>
          <w:sz w:val="24"/>
        </w:rPr>
        <w:t>4</w:t>
      </w:r>
    </w:p>
    <w:p w14:paraId="17186DED" w14:textId="77777777" w:rsidR="00C465B4" w:rsidRDefault="00C465B4">
      <w:pPr>
        <w:pStyle w:val="BodyText"/>
        <w:spacing w:before="0"/>
        <w:ind w:left="0"/>
        <w:rPr>
          <w:sz w:val="20"/>
        </w:rPr>
      </w:pPr>
    </w:p>
    <w:p w14:paraId="17186DEE" w14:textId="77777777" w:rsidR="00C465B4" w:rsidRDefault="00C465B4">
      <w:pPr>
        <w:pStyle w:val="BodyText"/>
        <w:spacing w:before="0"/>
        <w:ind w:left="0"/>
        <w:rPr>
          <w:sz w:val="20"/>
        </w:rPr>
      </w:pPr>
    </w:p>
    <w:p w14:paraId="17186DEF" w14:textId="64BC2E65" w:rsidR="00C465B4" w:rsidRDefault="00E75CC3">
      <w:pPr>
        <w:pStyle w:val="BodyText"/>
        <w:spacing w:before="1"/>
        <w:ind w:left="0"/>
        <w:rPr>
          <w:sz w:val="26"/>
        </w:rPr>
      </w:pPr>
      <w:r>
        <w:rPr>
          <w:sz w:val="26"/>
        </w:rPr>
      </w:r>
      <w:r>
        <w:rPr>
          <w:sz w:val="26"/>
        </w:rPr>
        <w:pict w14:anchorId="17186DF1">
          <v:shape id="docshape1" o:spid="_x0000_s1027" alt="Instalment Details" style="width:193.7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1440,325" coordsize="3874,0" path="m1440,325r3874,e" filled="f" strokeweight=".76pt">
            <v:path arrowok="t"/>
            <w10:wrap anchorx="page"/>
            <w10:anchorlock/>
          </v:shape>
        </w:pict>
      </w:r>
      <w:r>
        <w:rPr>
          <w:sz w:val="26"/>
        </w:rPr>
      </w:r>
      <w:r>
        <w:rPr>
          <w:sz w:val="26"/>
        </w:rPr>
        <w:pict w14:anchorId="17186DF2">
          <v:shape id="docshape2" o:spid="_x0000_s1026" alt="Instalment Details&#10;" style="width:200.2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6480,325" coordsize="4005,0" path="m6480,325r4005,e" filled="f" strokeweight=".76pt">
            <v:path arrowok="t"/>
            <w10:wrap anchorx="page"/>
            <w10:anchorlock/>
          </v:shape>
        </w:pict>
      </w:r>
    </w:p>
    <w:p w14:paraId="17186DF0" w14:textId="77777777" w:rsidR="00C465B4" w:rsidRDefault="00E75CC3">
      <w:pPr>
        <w:pStyle w:val="BodyText"/>
        <w:tabs>
          <w:tab w:val="left" w:pos="5179"/>
        </w:tabs>
        <w:spacing w:before="44"/>
        <w:ind w:left="140"/>
        <w:rPr>
          <w:spacing w:val="-2"/>
        </w:rPr>
      </w:pPr>
      <w:r>
        <w:t>WARDEN:</w:t>
      </w:r>
      <w:r>
        <w:rPr>
          <w:spacing w:val="-2"/>
        </w:rPr>
        <w:t xml:space="preserve"> </w:t>
      </w:r>
      <w:r>
        <w:t>Brian</w:t>
      </w:r>
      <w:r>
        <w:rPr>
          <w:spacing w:val="-2"/>
        </w:rPr>
        <w:t xml:space="preserve"> Milne</w:t>
      </w:r>
      <w:r>
        <w:tab/>
        <w:t>CLERK:</w:t>
      </w:r>
      <w:r>
        <w:rPr>
          <w:spacing w:val="-4"/>
        </w:rPr>
        <w:t xml:space="preserve"> </w:t>
      </w:r>
      <w:r>
        <w:t>Tara</w:t>
      </w:r>
      <w:r>
        <w:rPr>
          <w:spacing w:val="-2"/>
        </w:rPr>
        <w:t xml:space="preserve"> Warder</w:t>
      </w:r>
    </w:p>
    <w:p w14:paraId="4733ABD3" w14:textId="77777777" w:rsidR="008D272E" w:rsidRDefault="008D272E">
      <w:pPr>
        <w:pStyle w:val="BodyText"/>
        <w:tabs>
          <w:tab w:val="left" w:pos="5179"/>
        </w:tabs>
        <w:spacing w:before="44"/>
        <w:ind w:left="140"/>
        <w:sectPr w:rsidR="008D272E" w:rsidSect="002B64CA">
          <w:pgSz w:w="12240" w:h="15840"/>
          <w:pgMar w:top="1360" w:right="880" w:bottom="280" w:left="1300" w:header="720" w:footer="720" w:gutter="0"/>
          <w:cols w:space="720"/>
        </w:sectPr>
      </w:pPr>
    </w:p>
    <w:p w14:paraId="01F40F4C" w14:textId="24294182" w:rsidR="007709BF" w:rsidRDefault="00F17CF2">
      <w:pPr>
        <w:pStyle w:val="BodyText"/>
        <w:tabs>
          <w:tab w:val="left" w:pos="5179"/>
        </w:tabs>
        <w:spacing w:before="44"/>
        <w:ind w:left="140"/>
      </w:pPr>
      <w:r>
        <w:rPr>
          <w:noProof/>
        </w:rPr>
        <w:drawing>
          <wp:inline distT="0" distB="0" distL="0" distR="0" wp14:anchorId="069D0258" wp14:editId="417A4DCD">
            <wp:extent cx="8267065" cy="6388100"/>
            <wp:effectExtent l="0" t="0" r="635" b="0"/>
            <wp:docPr id="2040158354" name="Picture 1" descr="A close-up of a tax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158354" name="Picture 1" descr="A close-up of a tax for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065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03D55A" wp14:editId="00406549">
            <wp:extent cx="8267065" cy="6388100"/>
            <wp:effectExtent l="0" t="0" r="635" b="0"/>
            <wp:docPr id="1182875261" name="Picture 2" descr="A close-up of a tax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875261" name="Picture 2" descr="A close-up of a tax for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065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C2EEFE" wp14:editId="54273C47">
            <wp:extent cx="4936490" cy="6388100"/>
            <wp:effectExtent l="0" t="0" r="0" b="0"/>
            <wp:docPr id="790117618" name="Picture 3" descr="A close-up of a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117618" name="Picture 3" descr="A close-up of a receip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49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9BF" w:rsidSect="002B64CA">
      <w:pgSz w:w="15840" w:h="12240" w:orient="landscape"/>
      <w:pgMar w:top="1300" w:right="1360" w:bottom="8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31958"/>
    <w:multiLevelType w:val="hybridMultilevel"/>
    <w:tmpl w:val="D73A4492"/>
    <w:lvl w:ilvl="0" w:tplc="E724EF9A">
      <w:start w:val="1"/>
      <w:numFmt w:val="decimal"/>
      <w:lvlText w:val="%1."/>
      <w:lvlJc w:val="left"/>
      <w:pPr>
        <w:ind w:left="8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524E044">
      <w:start w:val="1"/>
      <w:numFmt w:val="lowerLetter"/>
      <w:lvlText w:val="%2."/>
      <w:lvlJc w:val="left"/>
      <w:pPr>
        <w:ind w:left="15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A8E557A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94E46C72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 w:tplc="CDDE41E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AEC2C910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 w:tplc="11AA1192"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ar-SA"/>
      </w:rPr>
    </w:lvl>
    <w:lvl w:ilvl="7" w:tplc="7CBA722E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D4CC26E0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ar-SA"/>
      </w:rPr>
    </w:lvl>
  </w:abstractNum>
  <w:num w:numId="1" w16cid:durableId="186470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65B4"/>
    <w:rsid w:val="0007181F"/>
    <w:rsid w:val="00137C63"/>
    <w:rsid w:val="0029665D"/>
    <w:rsid w:val="002B64CA"/>
    <w:rsid w:val="003565F6"/>
    <w:rsid w:val="0036026B"/>
    <w:rsid w:val="00403564"/>
    <w:rsid w:val="00405512"/>
    <w:rsid w:val="00412193"/>
    <w:rsid w:val="005C76AE"/>
    <w:rsid w:val="006D56B3"/>
    <w:rsid w:val="007709BF"/>
    <w:rsid w:val="008D272E"/>
    <w:rsid w:val="009D67F8"/>
    <w:rsid w:val="00BB4243"/>
    <w:rsid w:val="00C465B4"/>
    <w:rsid w:val="00D03667"/>
    <w:rsid w:val="00E60F60"/>
    <w:rsid w:val="00E75CC3"/>
    <w:rsid w:val="00E81A11"/>
    <w:rsid w:val="00EC6B1B"/>
    <w:rsid w:val="00F17CF2"/>
    <w:rsid w:val="2C364148"/>
    <w:rsid w:val="595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186DA9"/>
  <w15:docId w15:val="{D6811D1A-E701-45A8-B876-844749FF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5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98" w:lineRule="exact"/>
      <w:ind w:right="466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0"/>
      <w:ind w:left="15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GC_122114276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[2023-05-11 County Council [12251]]</meetingId>
    <capitalProjectPriority xmlns="e6cd7bd4-3f3e-4495-b8c9-139289cd76e6" xsi:nil="true"/>
    <policyApprovalDate xmlns="e6cd7bd4-3f3e-4495-b8c9-139289cd76e6" xsi:nil="true"/>
    <NodeRef xmlns="e6cd7bd4-3f3e-4495-b8c9-139289cd76e6">225924c9-9b23-4872-8b9a-626ee91e51a6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5153-23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B507D-937C-4F2A-BA48-6BB6C542852D}">
  <ds:schemaRefs>
    <ds:schemaRef ds:uri="http://schemas.microsoft.com/office/2006/metadata/properties"/>
    <ds:schemaRef ds:uri="http://schemas.microsoft.com/office/infopath/2007/PartnerControls"/>
    <ds:schemaRef ds:uri="e6cd7bd4-3f3e-4495-b8c9-139289cd76e6"/>
  </ds:schemaRefs>
</ds:datastoreItem>
</file>

<file path=customXml/itemProps2.xml><?xml version="1.0" encoding="utf-8"?>
<ds:datastoreItem xmlns:ds="http://schemas.openxmlformats.org/officeDocument/2006/customXml" ds:itemID="{F9F0CE58-6D83-4901-A987-418E01AC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3EF81-3EB2-48A6-8996-70AB43EA37D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D339BD-F863-40C5-B4FB-A9E3CE8E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d7bd4-3f3e-4495-b8c9-139289cd7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896</Words>
  <Characters>5108</Characters>
  <Application>Microsoft Office Word</Application>
  <DocSecurity>4</DocSecurity>
  <Lines>42</Lines>
  <Paragraphs>11</Paragraphs>
  <ScaleCrop>false</ScaleCrop>
  <Company>County of Grey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Nancy</dc:creator>
  <cp:keywords/>
  <cp:lastModifiedBy>Sarah Goldrup</cp:lastModifiedBy>
  <cp:revision>17</cp:revision>
  <dcterms:created xsi:type="dcterms:W3CDTF">2024-02-15T18:04:00Z</dcterms:created>
  <dcterms:modified xsi:type="dcterms:W3CDTF">2024-03-11T18:03:00Z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  <property fmtid="{D5CDD505-2E9C-101B-9397-08002B2CF9AE}" pid="7" name="ContentTypeId">
    <vt:lpwstr>0x0101002C4164E063A41A4487A7365A660F11180100AC29913F03EB1D489414932DEE929A70</vt:lpwstr>
  </property>
  <property fmtid="{D5CDD505-2E9C-101B-9397-08002B2CF9AE}" pid="8" name="Order">
    <vt:r8>100</vt:r8>
  </property>
  <property fmtid="{D5CDD505-2E9C-101B-9397-08002B2CF9AE}" pid="9" name="_ExtendedDescription">
    <vt:lpwstr/>
  </property>
</Properties>
</file>