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5DBE7952" w:rsidR="009C4373" w:rsidRDefault="00E573D1" w:rsidP="00760C9B">
            <w:pPr>
              <w:spacing w:before="60" w:after="60"/>
            </w:pPr>
            <w:r>
              <w:t xml:space="preserve">Chair </w:t>
            </w:r>
            <w:r w:rsidR="009C4373">
              <w:t xml:space="preserve">and Members of </w:t>
            </w:r>
            <w:r w:rsidR="004252BF">
              <w:t>Long-Term Care Redevelopment Planning Task Force</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3DA576A6" w:rsidR="009C4373" w:rsidRDefault="00E573D1" w:rsidP="00760C9B">
            <w:pPr>
              <w:spacing w:before="60" w:after="60"/>
            </w:pPr>
            <w:r>
              <w:t xml:space="preserve">January 22, 2021 </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4CD9CF93" w:rsidR="009C4373" w:rsidRDefault="00E573D1" w:rsidP="00760C9B">
            <w:pPr>
              <w:spacing w:before="60" w:after="60"/>
            </w:pPr>
            <w:r>
              <w:t>CAOR-RP-04-21</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1C867275" w:rsidR="009C4373" w:rsidRDefault="00E573D1" w:rsidP="00760C9B">
                <w:pPr>
                  <w:spacing w:before="60" w:after="60"/>
                </w:pPr>
                <w:r>
                  <w:t>Recommendation on Consultant Proposal for Grey Gables</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7E5C1F1E" w:rsidR="009C4373" w:rsidRDefault="00E573D1" w:rsidP="00760C9B">
            <w:pPr>
              <w:spacing w:before="60" w:after="60"/>
            </w:pPr>
            <w:r>
              <w:t>Kim Wingrove</w:t>
            </w:r>
            <w:r w:rsidR="00925932">
              <w:t>, CAO</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77777777" w:rsidR="009C4373" w:rsidRDefault="009C4373" w:rsidP="00760C9B">
            <w:pPr>
              <w:spacing w:before="60" w:after="60"/>
            </w:pP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3A7C27A1" w:rsidR="009C4373" w:rsidRDefault="00C221CB" w:rsidP="00760C9B">
            <w:pPr>
              <w:spacing w:before="60" w:after="60"/>
            </w:pPr>
            <w:r>
              <w:t>Grey Highlands</w:t>
            </w: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0BFCBE53" w:rsidR="009C4373" w:rsidRDefault="00AD691D" w:rsidP="00760C9B">
            <w:pPr>
              <w:spacing w:before="60" w:after="60"/>
            </w:pPr>
            <w:r>
              <w:t>Recommendation adopted by Committee as presented per Resolution RP03-21; Endorsed by Council February 11, 2021 per Resolution CC17-21;</w:t>
            </w:r>
          </w:p>
        </w:tc>
      </w:tr>
    </w:tbl>
    <w:p w14:paraId="22045908" w14:textId="77777777" w:rsidR="00893CEB" w:rsidRDefault="00893CEB" w:rsidP="00893CEB">
      <w:pPr>
        <w:pStyle w:val="Heading1"/>
      </w:pPr>
      <w:r>
        <w:t>Recommendation</w:t>
      </w:r>
    </w:p>
    <w:p w14:paraId="1BD85B9B" w14:textId="59F33BC1" w:rsidR="00893CEB" w:rsidRPr="00D2348C" w:rsidRDefault="00893CEB" w:rsidP="00D2348C">
      <w:pPr>
        <w:pStyle w:val="Level1"/>
        <w:rPr>
          <w:b/>
          <w:bCs w:val="0"/>
        </w:rPr>
      </w:pPr>
      <w:r w:rsidRPr="00D2348C">
        <w:rPr>
          <w:b/>
          <w:bCs w:val="0"/>
        </w:rPr>
        <w:t xml:space="preserve">That </w:t>
      </w:r>
      <w:r w:rsidR="00E573D1">
        <w:rPr>
          <w:b/>
          <w:bCs w:val="0"/>
        </w:rPr>
        <w:t xml:space="preserve">Report CAOR-RP-04-21 </w:t>
      </w:r>
      <w:r w:rsidR="00490BC2">
        <w:rPr>
          <w:b/>
          <w:bCs w:val="0"/>
        </w:rPr>
        <w:t>containing a summary of the results of RFP-CAO-01-21</w:t>
      </w:r>
      <w:r w:rsidR="00E573D1">
        <w:rPr>
          <w:b/>
          <w:bCs w:val="0"/>
        </w:rPr>
        <w:t xml:space="preserve"> be received</w:t>
      </w:r>
      <w:r w:rsidRPr="00D2348C">
        <w:rPr>
          <w:b/>
          <w:bCs w:val="0"/>
        </w:rPr>
        <w:t>; and</w:t>
      </w:r>
    </w:p>
    <w:p w14:paraId="0A312916" w14:textId="52168017" w:rsidR="00E0692A" w:rsidRDefault="00893CEB" w:rsidP="00E0692A">
      <w:pPr>
        <w:pStyle w:val="Level1"/>
        <w:rPr>
          <w:b/>
          <w:bCs w:val="0"/>
        </w:rPr>
      </w:pPr>
      <w:r w:rsidRPr="00D2348C">
        <w:rPr>
          <w:b/>
          <w:bCs w:val="0"/>
        </w:rPr>
        <w:t>That</w:t>
      </w:r>
      <w:r w:rsidR="00FB3243">
        <w:rPr>
          <w:b/>
          <w:bCs w:val="0"/>
        </w:rPr>
        <w:t xml:space="preserve"> SHS Consulting</w:t>
      </w:r>
      <w:r w:rsidR="00490BC2">
        <w:rPr>
          <w:b/>
          <w:bCs w:val="0"/>
        </w:rPr>
        <w:t xml:space="preserve"> </w:t>
      </w:r>
      <w:r w:rsidR="00490BC2" w:rsidRPr="00490BC2">
        <w:rPr>
          <w:b/>
          <w:bCs w:val="0"/>
        </w:rPr>
        <w:t xml:space="preserve">be </w:t>
      </w:r>
      <w:r w:rsidR="00490BC2">
        <w:rPr>
          <w:b/>
          <w:bCs w:val="0"/>
        </w:rPr>
        <w:t>retained to provide options for repurposing Grey Gables</w:t>
      </w:r>
      <w:r w:rsidR="00490BC2" w:rsidRPr="00490BC2">
        <w:rPr>
          <w:b/>
          <w:bCs w:val="0"/>
        </w:rPr>
        <w:t xml:space="preserve"> at a cost of $</w:t>
      </w:r>
      <w:r w:rsidR="00FB3243">
        <w:rPr>
          <w:b/>
          <w:bCs w:val="0"/>
        </w:rPr>
        <w:t>54,000</w:t>
      </w:r>
      <w:r w:rsidR="00490BC2" w:rsidRPr="00490BC2">
        <w:rPr>
          <w:b/>
          <w:bCs w:val="0"/>
        </w:rPr>
        <w:t>, excluding taxe</w:t>
      </w:r>
      <w:r w:rsidR="00490BC2">
        <w:rPr>
          <w:b/>
          <w:bCs w:val="0"/>
        </w:rPr>
        <w:t>s</w:t>
      </w:r>
      <w:r w:rsidR="006500F7">
        <w:rPr>
          <w:b/>
          <w:bCs w:val="0"/>
        </w:rPr>
        <w:t>: and</w:t>
      </w:r>
    </w:p>
    <w:p w14:paraId="33E0CBBF" w14:textId="7949BF2B" w:rsidR="006500F7" w:rsidRPr="00D2348C" w:rsidRDefault="006500F7" w:rsidP="00E0692A">
      <w:pPr>
        <w:pStyle w:val="Level1"/>
        <w:rPr>
          <w:b/>
          <w:bCs w:val="0"/>
        </w:rPr>
      </w:pPr>
      <w:r>
        <w:rPr>
          <w:b/>
          <w:bCs w:val="0"/>
        </w:rPr>
        <w:t xml:space="preserve">That the costs be funded from </w:t>
      </w:r>
      <w:r w:rsidR="00254905">
        <w:rPr>
          <w:b/>
          <w:bCs w:val="0"/>
        </w:rPr>
        <w:t>the Long-Term Care Redevelopment Reserve.</w:t>
      </w:r>
    </w:p>
    <w:p w14:paraId="48D663CE" w14:textId="77777777" w:rsidR="00893CEB" w:rsidRDefault="00893CEB" w:rsidP="00893CEB">
      <w:pPr>
        <w:pStyle w:val="Heading2"/>
      </w:pPr>
      <w:r>
        <w:t>Executive Summary</w:t>
      </w:r>
    </w:p>
    <w:p w14:paraId="63BFABB4" w14:textId="096F656A" w:rsidR="00893CEB" w:rsidRDefault="004252BF" w:rsidP="00893CEB">
      <w:r>
        <w:t xml:space="preserve">The County issued RFP-CAO-01-21 </w:t>
      </w:r>
      <w:r w:rsidR="006500F7">
        <w:t>to</w:t>
      </w:r>
      <w:r>
        <w:t xml:space="preserve"> seek proposals from qualified consultants to examine options for redeveloping the current </w:t>
      </w:r>
      <w:r w:rsidR="006500F7">
        <w:t>Grey Gables facility</w:t>
      </w:r>
      <w:r>
        <w:t>.   The proposals are to provide an assessment of the highest and best use of the existing Grey Gables building and how it’s next use will integrate with or benefit from the new long-term</w:t>
      </w:r>
      <w:r w:rsidR="00C221CB">
        <w:t xml:space="preserve"> </w:t>
      </w:r>
      <w:r>
        <w:t>care home</w:t>
      </w:r>
      <w:r w:rsidR="00C221CB">
        <w:t>.</w:t>
      </w:r>
    </w:p>
    <w:p w14:paraId="4B2AF860" w14:textId="77777777" w:rsidR="00893CEB" w:rsidRDefault="00893CEB" w:rsidP="00893CEB">
      <w:pPr>
        <w:pStyle w:val="Heading2"/>
      </w:pPr>
      <w:r>
        <w:t>Background and Discussion</w:t>
      </w:r>
    </w:p>
    <w:p w14:paraId="57F404CB" w14:textId="77777777" w:rsidR="001771CA" w:rsidRDefault="001771CA" w:rsidP="00490BC2">
      <w:r>
        <w:t xml:space="preserve">Grey County has been given approval to proceed with development of a new 128-bed long-term care facility adjacent to the current building in Markdale. As the current and </w:t>
      </w:r>
      <w:r>
        <w:lastRenderedPageBreak/>
        <w:t xml:space="preserve">future buildings will share a small site, it is important to understand how they might connect, share site or building amenities before the planning of the new building begins. </w:t>
      </w:r>
    </w:p>
    <w:p w14:paraId="4A874880" w14:textId="2E42E911" w:rsidR="00893CEB" w:rsidRDefault="00490BC2" w:rsidP="00490BC2">
      <w:r w:rsidRPr="00490BC2">
        <w:t>RFP-C</w:t>
      </w:r>
      <w:r>
        <w:t>AO</w:t>
      </w:r>
      <w:r w:rsidRPr="00490BC2">
        <w:t xml:space="preserve">-06-19 was posted on the Grey County purchasing portal on </w:t>
      </w:r>
      <w:r>
        <w:t>December 23</w:t>
      </w:r>
      <w:r w:rsidRPr="00490BC2">
        <w:t>, 20</w:t>
      </w:r>
      <w:r>
        <w:t>20 and closed on January 15, 2021.</w:t>
      </w:r>
      <w:r w:rsidRPr="00490BC2">
        <w:t xml:space="preserve"> </w:t>
      </w:r>
      <w:r>
        <w:t xml:space="preserve">The RFP </w:t>
      </w:r>
      <w:r w:rsidRPr="00490BC2">
        <w:t xml:space="preserve">included the following </w:t>
      </w:r>
      <w:r>
        <w:t xml:space="preserve">evaluation </w:t>
      </w:r>
      <w:r w:rsidRPr="00490BC2">
        <w:t>criteria:</w:t>
      </w:r>
    </w:p>
    <w:tbl>
      <w:tblPr>
        <w:tblStyle w:val="TableGrid2"/>
        <w:tblW w:w="10406" w:type="dxa"/>
        <w:tblInd w:w="-5" w:type="dxa"/>
        <w:tblLayout w:type="fixed"/>
        <w:tblLook w:val="04A0" w:firstRow="1" w:lastRow="0" w:firstColumn="1" w:lastColumn="0" w:noHBand="0" w:noVBand="1"/>
      </w:tblPr>
      <w:tblGrid>
        <w:gridCol w:w="450"/>
        <w:gridCol w:w="8930"/>
        <w:gridCol w:w="1026"/>
      </w:tblGrid>
      <w:tr w:rsidR="00490BC2" w:rsidRPr="00490BC2" w14:paraId="5228AAA8" w14:textId="77777777" w:rsidTr="00CC6EAC">
        <w:trPr>
          <w:trHeight w:val="2078"/>
        </w:trPr>
        <w:tc>
          <w:tcPr>
            <w:tcW w:w="450" w:type="dxa"/>
          </w:tcPr>
          <w:p w14:paraId="69841D76" w14:textId="77777777" w:rsidR="00490BC2" w:rsidRPr="00490BC2" w:rsidRDefault="00490BC2" w:rsidP="00490BC2">
            <w:pPr>
              <w:widowControl w:val="0"/>
              <w:numPr>
                <w:ilvl w:val="0"/>
                <w:numId w:val="46"/>
              </w:numPr>
              <w:tabs>
                <w:tab w:val="left" w:pos="-720"/>
              </w:tabs>
              <w:spacing w:before="80" w:after="80"/>
              <w:ind w:left="360"/>
              <w:contextualSpacing/>
              <w:rPr>
                <w:rFonts w:eastAsia="Calibri" w:cs="Arial"/>
              </w:rPr>
            </w:pPr>
            <w:r w:rsidRPr="00490BC2">
              <w:rPr>
                <w:rFonts w:eastAsia="Calibri" w:cs="Arial"/>
                <w:b/>
                <w:color w:val="000000"/>
              </w:rPr>
              <w:t>1</w:t>
            </w:r>
          </w:p>
        </w:tc>
        <w:tc>
          <w:tcPr>
            <w:tcW w:w="8930" w:type="dxa"/>
            <w:vAlign w:val="center"/>
          </w:tcPr>
          <w:p w14:paraId="0C6B2677" w14:textId="77777777" w:rsidR="00490BC2" w:rsidRPr="00490BC2" w:rsidRDefault="00490BC2" w:rsidP="00490BC2">
            <w:pPr>
              <w:autoSpaceDE w:val="0"/>
              <w:autoSpaceDN w:val="0"/>
              <w:adjustRightInd w:val="0"/>
              <w:spacing w:after="80"/>
              <w:rPr>
                <w:rFonts w:eastAsia="Calibri" w:cs="Arial"/>
                <w:b/>
                <w:color w:val="000000"/>
              </w:rPr>
            </w:pPr>
            <w:r w:rsidRPr="00490BC2">
              <w:rPr>
                <w:rFonts w:eastAsia="Calibri" w:cs="Arial"/>
                <w:b/>
                <w:color w:val="000000"/>
              </w:rPr>
              <w:t>Qualifications and Experience</w:t>
            </w:r>
          </w:p>
          <w:p w14:paraId="05AF5A9B" w14:textId="77777777" w:rsidR="00490BC2" w:rsidRPr="00490BC2" w:rsidRDefault="00490BC2" w:rsidP="00490BC2">
            <w:pPr>
              <w:numPr>
                <w:ilvl w:val="0"/>
                <w:numId w:val="47"/>
              </w:numPr>
              <w:autoSpaceDE w:val="0"/>
              <w:autoSpaceDN w:val="0"/>
              <w:adjustRightInd w:val="0"/>
              <w:rPr>
                <w:rFonts w:eastAsia="Calibri" w:cs="Arial"/>
                <w:color w:val="000000"/>
              </w:rPr>
            </w:pPr>
            <w:r w:rsidRPr="00490BC2">
              <w:rPr>
                <w:rFonts w:eastAsia="Calibri" w:cs="Arial"/>
                <w:color w:val="000000"/>
              </w:rPr>
              <w:t>Experience and credentials of firm and of personnel assigned to the project</w:t>
            </w:r>
          </w:p>
          <w:p w14:paraId="3333A8B4" w14:textId="77777777" w:rsidR="00490BC2" w:rsidRPr="00490BC2" w:rsidRDefault="00490BC2" w:rsidP="00490BC2">
            <w:pPr>
              <w:numPr>
                <w:ilvl w:val="0"/>
                <w:numId w:val="47"/>
              </w:numPr>
              <w:rPr>
                <w:rFonts w:eastAsia="Calibri" w:cs="Arial"/>
              </w:rPr>
            </w:pPr>
            <w:r w:rsidRPr="00490BC2">
              <w:rPr>
                <w:rFonts w:eastAsia="Calibri" w:cs="Arial"/>
                <w:color w:val="000000"/>
              </w:rPr>
              <w:t>References indicating the competence and track record of the respondent in the marketplace with regards to the specific services required by the County</w:t>
            </w:r>
            <w:r w:rsidRPr="00490BC2">
              <w:rPr>
                <w:rFonts w:eastAsia="Calibri" w:cs="Arial"/>
              </w:rPr>
              <w:t xml:space="preserve"> including relevant and successful experience in carrying out similar projects within the last five years</w:t>
            </w:r>
          </w:p>
          <w:p w14:paraId="5FDBC44D" w14:textId="77777777" w:rsidR="00490BC2" w:rsidRPr="00490BC2" w:rsidRDefault="00490BC2" w:rsidP="00490BC2">
            <w:pPr>
              <w:rPr>
                <w:rFonts w:eastAsia="Calibri" w:cs="Arial"/>
              </w:rPr>
            </w:pPr>
          </w:p>
        </w:tc>
        <w:tc>
          <w:tcPr>
            <w:tcW w:w="1026" w:type="dxa"/>
            <w:vAlign w:val="center"/>
          </w:tcPr>
          <w:p w14:paraId="0D069FAF" w14:textId="77777777" w:rsidR="00490BC2" w:rsidRPr="00490BC2" w:rsidRDefault="00490BC2" w:rsidP="00490BC2">
            <w:pPr>
              <w:widowControl w:val="0"/>
              <w:tabs>
                <w:tab w:val="left" w:pos="-720"/>
              </w:tabs>
              <w:spacing w:before="80" w:after="80"/>
              <w:ind w:left="-108"/>
              <w:jc w:val="center"/>
              <w:rPr>
                <w:rFonts w:eastAsia="Calibri" w:cs="Arial"/>
              </w:rPr>
            </w:pPr>
            <w:r w:rsidRPr="00490BC2">
              <w:rPr>
                <w:rFonts w:eastAsia="Calibri" w:cs="Arial"/>
                <w:b/>
                <w:color w:val="000000"/>
              </w:rPr>
              <w:t>25</w:t>
            </w:r>
          </w:p>
        </w:tc>
      </w:tr>
      <w:tr w:rsidR="00490BC2" w:rsidRPr="00490BC2" w14:paraId="55ACF589" w14:textId="77777777" w:rsidTr="00CC6EAC">
        <w:trPr>
          <w:trHeight w:val="1412"/>
        </w:trPr>
        <w:tc>
          <w:tcPr>
            <w:tcW w:w="450" w:type="dxa"/>
          </w:tcPr>
          <w:p w14:paraId="7D27BDB4" w14:textId="77777777" w:rsidR="00490BC2" w:rsidRPr="00490BC2" w:rsidRDefault="00490BC2" w:rsidP="00490BC2">
            <w:pPr>
              <w:keepNext/>
              <w:keepLines/>
              <w:widowControl w:val="0"/>
              <w:numPr>
                <w:ilvl w:val="0"/>
                <w:numId w:val="46"/>
              </w:numPr>
              <w:tabs>
                <w:tab w:val="left" w:pos="-720"/>
              </w:tabs>
              <w:spacing w:before="80" w:after="80"/>
              <w:ind w:left="360"/>
              <w:contextualSpacing/>
              <w:rPr>
                <w:rFonts w:eastAsia="Calibri" w:cs="Arial"/>
              </w:rPr>
            </w:pPr>
            <w:r w:rsidRPr="00490BC2">
              <w:rPr>
                <w:rFonts w:eastAsia="Calibri" w:cs="Arial"/>
                <w:b/>
                <w:color w:val="000000"/>
              </w:rPr>
              <w:t>2</w:t>
            </w:r>
          </w:p>
        </w:tc>
        <w:tc>
          <w:tcPr>
            <w:tcW w:w="8930" w:type="dxa"/>
            <w:vAlign w:val="center"/>
          </w:tcPr>
          <w:p w14:paraId="78A597F3" w14:textId="77777777" w:rsidR="00490BC2" w:rsidRPr="00490BC2" w:rsidRDefault="00490BC2" w:rsidP="00490BC2">
            <w:pPr>
              <w:autoSpaceDE w:val="0"/>
              <w:autoSpaceDN w:val="0"/>
              <w:adjustRightInd w:val="0"/>
              <w:spacing w:after="80"/>
              <w:rPr>
                <w:rFonts w:eastAsia="Calibri" w:cs="Arial"/>
                <w:b/>
                <w:color w:val="000000"/>
              </w:rPr>
            </w:pPr>
            <w:r w:rsidRPr="00490BC2">
              <w:rPr>
                <w:rFonts w:eastAsia="Calibri" w:cs="Arial"/>
                <w:b/>
                <w:color w:val="000000"/>
              </w:rPr>
              <w:t>Understanding the Scope</w:t>
            </w:r>
          </w:p>
          <w:p w14:paraId="03C34555" w14:textId="77777777" w:rsidR="00490BC2" w:rsidRPr="00490BC2" w:rsidRDefault="00490BC2" w:rsidP="00490BC2">
            <w:pPr>
              <w:numPr>
                <w:ilvl w:val="0"/>
                <w:numId w:val="48"/>
              </w:numPr>
              <w:autoSpaceDE w:val="0"/>
              <w:autoSpaceDN w:val="0"/>
              <w:adjustRightInd w:val="0"/>
              <w:rPr>
                <w:rFonts w:eastAsia="Calibri" w:cs="Arial"/>
                <w:color w:val="000000"/>
              </w:rPr>
            </w:pPr>
            <w:r w:rsidRPr="00490BC2">
              <w:rPr>
                <w:rFonts w:eastAsia="Calibri" w:cs="Arial"/>
                <w:color w:val="000000"/>
              </w:rPr>
              <w:t>Proposal details that show that the Consultant understands the scope of the work to be done and the included methodology which demonstrates this.</w:t>
            </w:r>
          </w:p>
        </w:tc>
        <w:tc>
          <w:tcPr>
            <w:tcW w:w="1026" w:type="dxa"/>
            <w:vAlign w:val="center"/>
          </w:tcPr>
          <w:p w14:paraId="754791B0" w14:textId="77777777" w:rsidR="00490BC2" w:rsidRPr="00490BC2" w:rsidRDefault="00490BC2" w:rsidP="00490BC2">
            <w:pPr>
              <w:keepNext/>
              <w:keepLines/>
              <w:widowControl w:val="0"/>
              <w:tabs>
                <w:tab w:val="left" w:pos="-720"/>
              </w:tabs>
              <w:spacing w:before="80" w:after="80"/>
              <w:ind w:left="-108"/>
              <w:jc w:val="center"/>
              <w:rPr>
                <w:rFonts w:eastAsia="Calibri" w:cs="Arial"/>
              </w:rPr>
            </w:pPr>
            <w:r w:rsidRPr="00490BC2">
              <w:rPr>
                <w:rFonts w:eastAsia="Calibri" w:cs="Arial"/>
                <w:b/>
                <w:color w:val="000000"/>
              </w:rPr>
              <w:t>25</w:t>
            </w:r>
          </w:p>
        </w:tc>
      </w:tr>
      <w:tr w:rsidR="00490BC2" w:rsidRPr="00490BC2" w14:paraId="13828581" w14:textId="77777777" w:rsidTr="00CC6EAC">
        <w:trPr>
          <w:trHeight w:val="1070"/>
        </w:trPr>
        <w:tc>
          <w:tcPr>
            <w:tcW w:w="450" w:type="dxa"/>
          </w:tcPr>
          <w:p w14:paraId="6754787C" w14:textId="77777777" w:rsidR="00490BC2" w:rsidRPr="00490BC2" w:rsidRDefault="00490BC2" w:rsidP="00490BC2">
            <w:pPr>
              <w:keepNext/>
              <w:keepLines/>
              <w:widowControl w:val="0"/>
              <w:numPr>
                <w:ilvl w:val="0"/>
                <w:numId w:val="46"/>
              </w:numPr>
              <w:tabs>
                <w:tab w:val="left" w:pos="-720"/>
              </w:tabs>
              <w:spacing w:before="80" w:after="80"/>
              <w:ind w:left="360"/>
              <w:contextualSpacing/>
              <w:rPr>
                <w:rFonts w:eastAsia="Calibri" w:cs="Arial"/>
                <w:b/>
                <w:color w:val="000000"/>
              </w:rPr>
            </w:pPr>
          </w:p>
        </w:tc>
        <w:tc>
          <w:tcPr>
            <w:tcW w:w="8930" w:type="dxa"/>
            <w:vAlign w:val="center"/>
          </w:tcPr>
          <w:p w14:paraId="2E9F2695" w14:textId="77777777" w:rsidR="00490BC2" w:rsidRPr="00490BC2" w:rsidRDefault="00490BC2" w:rsidP="00490BC2">
            <w:pPr>
              <w:autoSpaceDE w:val="0"/>
              <w:autoSpaceDN w:val="0"/>
              <w:adjustRightInd w:val="0"/>
              <w:spacing w:after="80"/>
              <w:rPr>
                <w:rFonts w:eastAsia="Calibri" w:cs="Arial"/>
                <w:b/>
                <w:color w:val="000000"/>
              </w:rPr>
            </w:pPr>
            <w:r w:rsidRPr="00490BC2">
              <w:rPr>
                <w:rFonts w:eastAsia="Calibri" w:cs="Arial"/>
                <w:b/>
                <w:color w:val="000000"/>
              </w:rPr>
              <w:t>Work Plan</w:t>
            </w:r>
          </w:p>
          <w:p w14:paraId="2A97ED6F" w14:textId="77777777" w:rsidR="00490BC2" w:rsidRPr="00490BC2" w:rsidRDefault="00490BC2" w:rsidP="00490BC2">
            <w:pPr>
              <w:keepNext/>
              <w:keepLines/>
              <w:widowControl w:val="0"/>
              <w:tabs>
                <w:tab w:val="left" w:pos="-720"/>
              </w:tabs>
              <w:ind w:left="173"/>
              <w:rPr>
                <w:rFonts w:eastAsia="Calibri" w:cs="Arial"/>
              </w:rPr>
            </w:pPr>
            <w:r w:rsidRPr="00490BC2">
              <w:rPr>
                <w:rFonts w:eastAsia="Calibri" w:cs="Arial"/>
              </w:rPr>
              <w:t>Project Schedule in the form of a Gantt Chart</w:t>
            </w:r>
          </w:p>
          <w:p w14:paraId="217C83DB" w14:textId="77777777" w:rsidR="00490BC2" w:rsidRPr="00490BC2" w:rsidRDefault="00490BC2" w:rsidP="00490BC2">
            <w:pPr>
              <w:keepNext/>
              <w:keepLines/>
              <w:numPr>
                <w:ilvl w:val="0"/>
                <w:numId w:val="48"/>
              </w:numPr>
              <w:tabs>
                <w:tab w:val="left" w:pos="0"/>
                <w:tab w:val="left" w:pos="7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100" w:afterAutospacing="1"/>
              <w:rPr>
                <w:rFonts w:eastAsia="Times New Roman" w:cs="Arial"/>
              </w:rPr>
            </w:pPr>
            <w:r w:rsidRPr="00490BC2">
              <w:rPr>
                <w:rFonts w:eastAsia="Times New Roman" w:cs="Arial"/>
                <w:lang w:val="en-GB"/>
              </w:rPr>
              <w:t>Clearly define the project schedule</w:t>
            </w:r>
          </w:p>
          <w:p w14:paraId="40DB3BCE" w14:textId="77777777" w:rsidR="00490BC2" w:rsidRPr="00490BC2" w:rsidRDefault="00490BC2" w:rsidP="00490BC2">
            <w:pPr>
              <w:keepNext/>
              <w:keepLines/>
              <w:numPr>
                <w:ilvl w:val="0"/>
                <w:numId w:val="48"/>
              </w:numPr>
              <w:contextualSpacing/>
              <w:rPr>
                <w:rFonts w:eastAsia="Calibri" w:cs="Arial"/>
              </w:rPr>
            </w:pPr>
            <w:r w:rsidRPr="00490BC2">
              <w:rPr>
                <w:rFonts w:eastAsia="Calibri" w:cs="Arial"/>
              </w:rPr>
              <w:t>Identify weekly milestones and deliverables for each</w:t>
            </w:r>
          </w:p>
          <w:p w14:paraId="3592201C" w14:textId="77777777" w:rsidR="00490BC2" w:rsidRPr="00490BC2" w:rsidRDefault="00490BC2" w:rsidP="00490BC2">
            <w:pPr>
              <w:keepNext/>
              <w:keepLines/>
              <w:numPr>
                <w:ilvl w:val="0"/>
                <w:numId w:val="48"/>
              </w:numPr>
              <w:contextualSpacing/>
              <w:rPr>
                <w:rFonts w:eastAsia="Calibri" w:cs="Arial"/>
              </w:rPr>
            </w:pPr>
            <w:r w:rsidRPr="00490BC2">
              <w:rPr>
                <w:rFonts w:eastAsia="Calibri" w:cs="Arial"/>
              </w:rPr>
              <w:t>Describe each task in detail</w:t>
            </w:r>
          </w:p>
          <w:p w14:paraId="41E69695" w14:textId="77777777" w:rsidR="00490BC2" w:rsidRPr="00490BC2" w:rsidRDefault="00490BC2" w:rsidP="00490BC2">
            <w:pPr>
              <w:autoSpaceDE w:val="0"/>
              <w:autoSpaceDN w:val="0"/>
              <w:adjustRightInd w:val="0"/>
              <w:rPr>
                <w:rFonts w:eastAsia="Calibri" w:cs="Arial"/>
                <w:color w:val="000000"/>
              </w:rPr>
            </w:pPr>
          </w:p>
        </w:tc>
        <w:tc>
          <w:tcPr>
            <w:tcW w:w="1026" w:type="dxa"/>
            <w:vAlign w:val="center"/>
          </w:tcPr>
          <w:p w14:paraId="462BA5C0" w14:textId="77777777" w:rsidR="00490BC2" w:rsidRPr="00490BC2" w:rsidRDefault="00490BC2" w:rsidP="00490BC2">
            <w:pPr>
              <w:keepNext/>
              <w:keepLines/>
              <w:widowControl w:val="0"/>
              <w:tabs>
                <w:tab w:val="left" w:pos="-720"/>
              </w:tabs>
              <w:spacing w:before="80" w:after="80"/>
              <w:ind w:left="-108"/>
              <w:jc w:val="center"/>
              <w:rPr>
                <w:rFonts w:eastAsia="Calibri" w:cs="Arial"/>
                <w:b/>
                <w:color w:val="000000"/>
              </w:rPr>
            </w:pPr>
            <w:r w:rsidRPr="00490BC2">
              <w:rPr>
                <w:rFonts w:eastAsia="Calibri" w:cs="Arial"/>
                <w:b/>
                <w:color w:val="000000"/>
              </w:rPr>
              <w:t>25</w:t>
            </w:r>
          </w:p>
        </w:tc>
      </w:tr>
      <w:tr w:rsidR="00490BC2" w:rsidRPr="00490BC2" w14:paraId="7381C021" w14:textId="77777777" w:rsidTr="00CC6EAC">
        <w:trPr>
          <w:trHeight w:val="1070"/>
        </w:trPr>
        <w:tc>
          <w:tcPr>
            <w:tcW w:w="450" w:type="dxa"/>
          </w:tcPr>
          <w:p w14:paraId="114855AC" w14:textId="77777777" w:rsidR="00490BC2" w:rsidRPr="00490BC2" w:rsidRDefault="00490BC2" w:rsidP="00490BC2">
            <w:pPr>
              <w:keepNext/>
              <w:keepLines/>
              <w:widowControl w:val="0"/>
              <w:numPr>
                <w:ilvl w:val="0"/>
                <w:numId w:val="46"/>
              </w:numPr>
              <w:tabs>
                <w:tab w:val="left" w:pos="-720"/>
              </w:tabs>
              <w:spacing w:before="80" w:after="80"/>
              <w:ind w:left="360"/>
              <w:contextualSpacing/>
              <w:rPr>
                <w:rFonts w:eastAsia="Calibri" w:cs="Arial"/>
              </w:rPr>
            </w:pPr>
            <w:r w:rsidRPr="00490BC2">
              <w:rPr>
                <w:rFonts w:eastAsia="Calibri" w:cs="Arial"/>
                <w:b/>
                <w:color w:val="000000"/>
              </w:rPr>
              <w:t>3</w:t>
            </w:r>
          </w:p>
        </w:tc>
        <w:tc>
          <w:tcPr>
            <w:tcW w:w="8930" w:type="dxa"/>
            <w:vAlign w:val="center"/>
          </w:tcPr>
          <w:p w14:paraId="1F0B569E" w14:textId="77777777" w:rsidR="00490BC2" w:rsidRPr="00490BC2" w:rsidRDefault="00490BC2" w:rsidP="00490BC2">
            <w:pPr>
              <w:autoSpaceDE w:val="0"/>
              <w:autoSpaceDN w:val="0"/>
              <w:adjustRightInd w:val="0"/>
              <w:spacing w:after="80"/>
              <w:rPr>
                <w:rFonts w:eastAsia="Calibri" w:cs="Arial"/>
                <w:b/>
                <w:color w:val="000000"/>
              </w:rPr>
            </w:pPr>
            <w:r w:rsidRPr="00490BC2">
              <w:rPr>
                <w:rFonts w:eastAsia="Calibri" w:cs="Arial"/>
                <w:b/>
                <w:color w:val="000000"/>
              </w:rPr>
              <w:t>Price</w:t>
            </w:r>
          </w:p>
          <w:p w14:paraId="1106A88B" w14:textId="77777777" w:rsidR="00490BC2" w:rsidRPr="00490BC2" w:rsidRDefault="00490BC2" w:rsidP="00490BC2">
            <w:pPr>
              <w:numPr>
                <w:ilvl w:val="0"/>
                <w:numId w:val="49"/>
              </w:numPr>
              <w:autoSpaceDE w:val="0"/>
              <w:autoSpaceDN w:val="0"/>
              <w:adjustRightInd w:val="0"/>
              <w:rPr>
                <w:rFonts w:eastAsia="Calibri" w:cs="Arial"/>
                <w:color w:val="000000"/>
              </w:rPr>
            </w:pPr>
            <w:r w:rsidRPr="00490BC2">
              <w:rPr>
                <w:rFonts w:eastAsia="Calibri" w:cs="Arial"/>
                <w:color w:val="000000"/>
              </w:rPr>
              <w:t>Overall submitted price for consulting services, excluding HST</w:t>
            </w:r>
          </w:p>
          <w:p w14:paraId="477C985D" w14:textId="77777777" w:rsidR="00490BC2" w:rsidRPr="00490BC2" w:rsidRDefault="00490BC2" w:rsidP="00490BC2">
            <w:pPr>
              <w:autoSpaceDE w:val="0"/>
              <w:autoSpaceDN w:val="0"/>
              <w:adjustRightInd w:val="0"/>
              <w:ind w:left="173"/>
              <w:rPr>
                <w:rFonts w:eastAsia="Calibri" w:cs="Arial"/>
                <w:b/>
              </w:rPr>
            </w:pPr>
            <w:r w:rsidRPr="00490BC2">
              <w:rPr>
                <w:rFonts w:eastAsia="Calibri" w:cs="Arial"/>
                <w:i/>
                <w:color w:val="000000"/>
              </w:rPr>
              <w:t>Included but not evaluated shall be per diems and hourly rates</w:t>
            </w:r>
          </w:p>
        </w:tc>
        <w:tc>
          <w:tcPr>
            <w:tcW w:w="1026" w:type="dxa"/>
            <w:vAlign w:val="center"/>
          </w:tcPr>
          <w:p w14:paraId="11EE06A6" w14:textId="77777777" w:rsidR="00490BC2" w:rsidRPr="00490BC2" w:rsidRDefault="00490BC2" w:rsidP="00490BC2">
            <w:pPr>
              <w:keepNext/>
              <w:keepLines/>
              <w:widowControl w:val="0"/>
              <w:tabs>
                <w:tab w:val="left" w:pos="-720"/>
              </w:tabs>
              <w:spacing w:before="80" w:after="80"/>
              <w:ind w:left="-108"/>
              <w:jc w:val="center"/>
              <w:rPr>
                <w:rFonts w:eastAsia="Calibri" w:cs="Arial"/>
              </w:rPr>
            </w:pPr>
            <w:r w:rsidRPr="00490BC2">
              <w:rPr>
                <w:rFonts w:eastAsia="Calibri" w:cs="Arial"/>
                <w:b/>
                <w:color w:val="000000"/>
              </w:rPr>
              <w:t>25</w:t>
            </w:r>
          </w:p>
        </w:tc>
      </w:tr>
      <w:tr w:rsidR="00490BC2" w:rsidRPr="00490BC2" w14:paraId="6D6878DC" w14:textId="77777777" w:rsidTr="00CC6EAC">
        <w:trPr>
          <w:trHeight w:val="342"/>
        </w:trPr>
        <w:tc>
          <w:tcPr>
            <w:tcW w:w="450" w:type="dxa"/>
          </w:tcPr>
          <w:p w14:paraId="53B4AA2C" w14:textId="77777777" w:rsidR="00490BC2" w:rsidRPr="00490BC2" w:rsidRDefault="00490BC2" w:rsidP="00490BC2">
            <w:pPr>
              <w:keepNext/>
              <w:keepLines/>
              <w:widowControl w:val="0"/>
              <w:tabs>
                <w:tab w:val="left" w:pos="-720"/>
              </w:tabs>
              <w:spacing w:before="80" w:after="80"/>
              <w:rPr>
                <w:rFonts w:eastAsia="Calibri" w:cs="Arial"/>
              </w:rPr>
            </w:pPr>
          </w:p>
        </w:tc>
        <w:tc>
          <w:tcPr>
            <w:tcW w:w="8930" w:type="dxa"/>
          </w:tcPr>
          <w:p w14:paraId="54F1414F" w14:textId="77777777" w:rsidR="00490BC2" w:rsidRPr="00490BC2" w:rsidRDefault="00490BC2" w:rsidP="00490BC2">
            <w:pPr>
              <w:keepNext/>
              <w:keepLines/>
              <w:widowControl w:val="0"/>
              <w:tabs>
                <w:tab w:val="left" w:pos="-720"/>
              </w:tabs>
              <w:spacing w:before="80" w:after="80"/>
              <w:ind w:left="6130"/>
              <w:rPr>
                <w:rFonts w:eastAsia="Calibri" w:cs="Arial"/>
                <w:b/>
              </w:rPr>
            </w:pPr>
            <w:r w:rsidRPr="00490BC2">
              <w:rPr>
                <w:rFonts w:eastAsia="Calibri" w:cs="Arial"/>
                <w:b/>
              </w:rPr>
              <w:t>Total</w:t>
            </w:r>
          </w:p>
        </w:tc>
        <w:tc>
          <w:tcPr>
            <w:tcW w:w="1026" w:type="dxa"/>
          </w:tcPr>
          <w:p w14:paraId="4663600C" w14:textId="77777777" w:rsidR="00490BC2" w:rsidRPr="00490BC2" w:rsidRDefault="00490BC2" w:rsidP="00490BC2">
            <w:pPr>
              <w:keepNext/>
              <w:keepLines/>
              <w:widowControl w:val="0"/>
              <w:tabs>
                <w:tab w:val="left" w:pos="-720"/>
              </w:tabs>
              <w:spacing w:before="80" w:after="80"/>
              <w:ind w:left="-108"/>
              <w:jc w:val="center"/>
              <w:rPr>
                <w:rFonts w:eastAsia="Calibri" w:cs="Arial"/>
                <w:b/>
              </w:rPr>
            </w:pPr>
            <w:r w:rsidRPr="00490BC2">
              <w:rPr>
                <w:rFonts w:eastAsia="Calibri" w:cs="Arial"/>
                <w:b/>
              </w:rPr>
              <w:t>100</w:t>
            </w:r>
          </w:p>
        </w:tc>
      </w:tr>
    </w:tbl>
    <w:p w14:paraId="5CA31BC3" w14:textId="2DD746E7" w:rsidR="00490BC2" w:rsidRDefault="00490BC2" w:rsidP="00893CEB"/>
    <w:p w14:paraId="691A91D9" w14:textId="77777777" w:rsidR="001771CA" w:rsidRDefault="00C221CB" w:rsidP="00893CEB">
      <w:r>
        <w:t>The RFP noted that the successful proponent provide recommendations to the Task Force</w:t>
      </w:r>
      <w:r w:rsidR="00D04558">
        <w:t xml:space="preserve"> on the optimal use of the existing Grey Gables facility</w:t>
      </w:r>
      <w:r>
        <w:t xml:space="preserve">.  The analysis should include a feasibility study, market demand analysis, revenue potential, operating models and costs as well as renovations costs.  </w:t>
      </w:r>
      <w:r w:rsidR="00FB3243">
        <w:t xml:space="preserve">Six companies were invited to submit a proposal. Only one submission was received. </w:t>
      </w:r>
    </w:p>
    <w:p w14:paraId="09F1667A" w14:textId="7C1B0984" w:rsidR="001771CA" w:rsidRDefault="001771CA" w:rsidP="00893CEB">
      <w:r>
        <w:t xml:space="preserve">SHS Consulting in collaboration with Salter Pilon Architects provided a response that  scored highly on all evaluation criteria. These firms are also completing the housing options study for the Rockwood Terrace lands in Durham. Staff feel there will be a benefit </w:t>
      </w:r>
      <w:r w:rsidR="00925932">
        <w:t xml:space="preserve">to working with the same highly experienced firms on both projects. </w:t>
      </w:r>
    </w:p>
    <w:p w14:paraId="36C7C83C" w14:textId="3B5A1556" w:rsidR="00C221CB" w:rsidRDefault="00FB3243" w:rsidP="00893CEB">
      <w:r>
        <w:t>It</w:t>
      </w:r>
      <w:r w:rsidR="00C221CB">
        <w:t xml:space="preserve"> is recommended that</w:t>
      </w:r>
      <w:r>
        <w:t xml:space="preserve"> SHS Consulting</w:t>
      </w:r>
      <w:r w:rsidR="00C221CB">
        <w:t xml:space="preserve"> be award the contract.  </w:t>
      </w:r>
    </w:p>
    <w:p w14:paraId="42F5373C" w14:textId="77777777" w:rsidR="00893CEB" w:rsidRDefault="00893CEB" w:rsidP="00893CEB">
      <w:pPr>
        <w:pStyle w:val="Heading2"/>
      </w:pPr>
      <w:r>
        <w:lastRenderedPageBreak/>
        <w:t>Legal and Legislated Requirements</w:t>
      </w:r>
    </w:p>
    <w:p w14:paraId="523ECA1F" w14:textId="0221DBF2" w:rsidR="00893CEB" w:rsidRDefault="00C221CB" w:rsidP="00893CEB">
      <w:r>
        <w:t xml:space="preserve">Grey County’s Purchasing Policy was followed. </w:t>
      </w:r>
    </w:p>
    <w:p w14:paraId="4DDCF7F4" w14:textId="77777777" w:rsidR="00893CEB" w:rsidRDefault="00893CEB" w:rsidP="00893CEB">
      <w:pPr>
        <w:pStyle w:val="Heading2"/>
      </w:pPr>
      <w:r>
        <w:t>Financial and Resource Implications</w:t>
      </w:r>
    </w:p>
    <w:p w14:paraId="31212CAD" w14:textId="79264740" w:rsidR="00893CEB" w:rsidRPr="000F4322" w:rsidRDefault="00C221CB" w:rsidP="00893CEB">
      <w:r>
        <w:t>The cost</w:t>
      </w:r>
      <w:r w:rsidR="00254905">
        <w:t>s</w:t>
      </w:r>
      <w:r>
        <w:t xml:space="preserve"> of th</w:t>
      </w:r>
      <w:r w:rsidR="00254905">
        <w:t>is</w:t>
      </w:r>
      <w:r>
        <w:t xml:space="preserve"> project will be $</w:t>
      </w:r>
      <w:r w:rsidR="00FB3243">
        <w:t>54,</w:t>
      </w:r>
      <w:r w:rsidR="00254905">
        <w:t>950.40 (including non-refundable portion of HST)</w:t>
      </w:r>
      <w:r>
        <w:t xml:space="preserve"> and this </w:t>
      </w:r>
      <w:r w:rsidR="00254905">
        <w:t xml:space="preserve">is recommended to </w:t>
      </w:r>
      <w:r>
        <w:t xml:space="preserve">be funded from </w:t>
      </w:r>
      <w:r w:rsidR="00254905">
        <w:t>the Long-Term Care Redevelopment Reserve</w:t>
      </w:r>
      <w:r>
        <w:t>.</w:t>
      </w:r>
      <w:r w:rsidR="00254905">
        <w:t xml:space="preserve">  The Long-Term Care Redevelopment Reserve has a projected 2020 year-end balance of $7,211,493.</w:t>
      </w:r>
      <w:r>
        <w:t xml:space="preserve">  </w:t>
      </w:r>
    </w:p>
    <w:p w14:paraId="60BBA4F0" w14:textId="77777777" w:rsidR="00893CEB" w:rsidRDefault="00893CEB" w:rsidP="00893CEB">
      <w:pPr>
        <w:pStyle w:val="Heading1"/>
      </w:pPr>
      <w:r>
        <w:t>Relevant Consultation</w:t>
      </w:r>
    </w:p>
    <w:p w14:paraId="19B37EF4" w14:textId="74F15840" w:rsidR="00893CEB" w:rsidRDefault="00AD691D" w:rsidP="00893CEB">
      <w:sdt>
        <w:sdtPr>
          <w:id w:val="277615633"/>
          <w14:checkbox>
            <w14:checked w14:val="1"/>
            <w14:checkedState w14:val="2612" w14:font="MS Gothic"/>
            <w14:uncheckedState w14:val="2610" w14:font="MS Gothic"/>
          </w14:checkbox>
        </w:sdtPr>
        <w:sdtEndPr/>
        <w:sdtContent>
          <w:r w:rsidR="00C221CB">
            <w:rPr>
              <w:rFonts w:ascii="MS Gothic" w:eastAsia="MS Gothic" w:hAnsi="MS Gothic" w:hint="eastAsia"/>
            </w:rPr>
            <w:t>☒</w:t>
          </w:r>
        </w:sdtContent>
      </w:sdt>
      <w:r w:rsidR="00893CEB">
        <w:tab/>
        <w:t xml:space="preserve">Internal </w:t>
      </w:r>
      <w:r w:rsidR="00C221CB">
        <w:t>Purchasing</w:t>
      </w:r>
    </w:p>
    <w:p w14:paraId="161A2279" w14:textId="2C1D90FF" w:rsidR="00893CEB" w:rsidRDefault="00AD691D" w:rsidP="00893CEB">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External</w:t>
      </w:r>
    </w:p>
    <w:p w14:paraId="03A9288B" w14:textId="69D3943F" w:rsidR="00893CEB" w:rsidRDefault="00893CEB" w:rsidP="00893CEB">
      <w:pPr>
        <w:pStyle w:val="Heading3"/>
      </w:pPr>
      <w:r>
        <w:t>Appendices and Attachments</w:t>
      </w:r>
    </w:p>
    <w:p w14:paraId="74EB1E9C" w14:textId="252A386E" w:rsidR="00C221CB" w:rsidRPr="00C221CB" w:rsidRDefault="00C221CB" w:rsidP="00C221CB">
      <w:r>
        <w:t>None</w:t>
      </w:r>
    </w:p>
    <w:p w14:paraId="2BC9B21B" w14:textId="3BA380F1" w:rsidR="00100AA2" w:rsidRDefault="00100AA2" w:rsidP="00A3226F">
      <w:pPr>
        <w:tabs>
          <w:tab w:val="right" w:pos="9360"/>
        </w:tabs>
        <w:rPr>
          <w:rFonts w:cs="Arial"/>
        </w:rPr>
      </w:pPr>
    </w:p>
    <w:p w14:paraId="650B799C" w14:textId="7FDEEF3A" w:rsidR="00CC7816" w:rsidRPr="00CC7816" w:rsidRDefault="00CC7816" w:rsidP="00CC7816">
      <w:pPr>
        <w:spacing w:after="120"/>
        <w:jc w:val="center"/>
        <w:rPr>
          <w:lang w:val="en-CA"/>
        </w:rPr>
      </w:pPr>
    </w:p>
    <w:sectPr w:rsidR="00CC7816" w:rsidRPr="00CC7816" w:rsidSect="00906B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31258" w14:textId="77777777" w:rsidR="003718D9" w:rsidRDefault="003718D9" w:rsidP="004B6AC1">
      <w:pPr>
        <w:spacing w:after="0" w:line="240" w:lineRule="auto"/>
      </w:pPr>
      <w:r>
        <w:separator/>
      </w:r>
    </w:p>
  </w:endnote>
  <w:endnote w:type="continuationSeparator" w:id="0">
    <w:p w14:paraId="19B4BE99" w14:textId="77777777" w:rsidR="003718D9" w:rsidRDefault="003718D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15DD" w14:textId="1CA4A624" w:rsidR="00C5196E" w:rsidRDefault="00E573D1" w:rsidP="00906BC5">
    <w:pPr>
      <w:pStyle w:val="Footer"/>
      <w:jc w:val="center"/>
    </w:pPr>
    <w:r>
      <w:rPr>
        <w:sz w:val="22"/>
        <w:szCs w:val="22"/>
      </w:rPr>
      <w:t>CAOR-RP-04-21</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Pr>
        <w:noProof/>
      </w:rPr>
      <w:t>January 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2BAE" w14:textId="77777777" w:rsidR="003718D9" w:rsidRDefault="003718D9" w:rsidP="004B6AC1">
      <w:pPr>
        <w:spacing w:after="0" w:line="240" w:lineRule="auto"/>
      </w:pPr>
      <w:r>
        <w:separator/>
      </w:r>
    </w:p>
  </w:footnote>
  <w:footnote w:type="continuationSeparator" w:id="0">
    <w:p w14:paraId="6DF9C1AB" w14:textId="77777777" w:rsidR="003718D9" w:rsidRDefault="003718D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174E4"/>
    <w:multiLevelType w:val="hybridMultilevel"/>
    <w:tmpl w:val="228E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6"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33A7362"/>
    <w:multiLevelType w:val="hybridMultilevel"/>
    <w:tmpl w:val="7968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69BD54A7"/>
    <w:multiLevelType w:val="hybridMultilevel"/>
    <w:tmpl w:val="9F2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12414"/>
    <w:multiLevelType w:val="hybridMultilevel"/>
    <w:tmpl w:val="BCF6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6"/>
  </w:num>
  <w:num w:numId="5">
    <w:abstractNumId w:val="2"/>
  </w:num>
  <w:num w:numId="6">
    <w:abstractNumId w:val="17"/>
  </w:num>
  <w:num w:numId="7">
    <w:abstractNumId w:val="8"/>
  </w:num>
  <w:num w:numId="8">
    <w:abstractNumId w:val="11"/>
  </w:num>
  <w:num w:numId="9">
    <w:abstractNumId w:val="24"/>
  </w:num>
  <w:num w:numId="10">
    <w:abstractNumId w:val="25"/>
  </w:num>
  <w:num w:numId="11">
    <w:abstractNumId w:val="1"/>
  </w:num>
  <w:num w:numId="12">
    <w:abstractNumId w:val="21"/>
  </w:num>
  <w:num w:numId="13">
    <w:abstractNumId w:val="7"/>
  </w:num>
  <w:num w:numId="14">
    <w:abstractNumId w:val="6"/>
  </w:num>
  <w:num w:numId="15">
    <w:abstractNumId w:val="4"/>
  </w:num>
  <w:num w:numId="16">
    <w:abstractNumId w:val="22"/>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 w:numId="33">
    <w:abstractNumId w:val="18"/>
  </w:num>
  <w:num w:numId="34">
    <w:abstractNumId w:val="5"/>
  </w:num>
  <w:num w:numId="35">
    <w:abstractNumId w:val="19"/>
  </w:num>
  <w:num w:numId="36">
    <w:abstractNumId w:val="15"/>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num>
  <w:num w:numId="46">
    <w:abstractNumId w:val="27"/>
  </w:num>
  <w:num w:numId="47">
    <w:abstractNumId w:val="23"/>
  </w:num>
  <w:num w:numId="48">
    <w:abstractNumId w:val="3"/>
  </w:num>
  <w:num w:numId="49">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A5195"/>
    <w:rsid w:val="000A665D"/>
    <w:rsid w:val="000B2FC6"/>
    <w:rsid w:val="000B7C11"/>
    <w:rsid w:val="000D1391"/>
    <w:rsid w:val="000D3D6B"/>
    <w:rsid w:val="000D707D"/>
    <w:rsid w:val="000E2028"/>
    <w:rsid w:val="000F339B"/>
    <w:rsid w:val="000F7DE2"/>
    <w:rsid w:val="00100AA2"/>
    <w:rsid w:val="001034BB"/>
    <w:rsid w:val="001163EF"/>
    <w:rsid w:val="00120301"/>
    <w:rsid w:val="00127940"/>
    <w:rsid w:val="00134184"/>
    <w:rsid w:val="00134B93"/>
    <w:rsid w:val="00142D96"/>
    <w:rsid w:val="00143833"/>
    <w:rsid w:val="001467F1"/>
    <w:rsid w:val="00146DCA"/>
    <w:rsid w:val="00147696"/>
    <w:rsid w:val="001512C3"/>
    <w:rsid w:val="00160AAD"/>
    <w:rsid w:val="00164A48"/>
    <w:rsid w:val="00172189"/>
    <w:rsid w:val="00173845"/>
    <w:rsid w:val="001771CA"/>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F4F23"/>
    <w:rsid w:val="001F5A84"/>
    <w:rsid w:val="002072A5"/>
    <w:rsid w:val="00225132"/>
    <w:rsid w:val="00234FC9"/>
    <w:rsid w:val="002360C1"/>
    <w:rsid w:val="00242EEE"/>
    <w:rsid w:val="0024545F"/>
    <w:rsid w:val="00247AC9"/>
    <w:rsid w:val="002530D6"/>
    <w:rsid w:val="00254905"/>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6CFB"/>
    <w:rsid w:val="002C4773"/>
    <w:rsid w:val="002C7C57"/>
    <w:rsid w:val="002E1CB2"/>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5DEF"/>
    <w:rsid w:val="00405FB1"/>
    <w:rsid w:val="00406F19"/>
    <w:rsid w:val="00411D6C"/>
    <w:rsid w:val="004159CC"/>
    <w:rsid w:val="004178A2"/>
    <w:rsid w:val="00417D54"/>
    <w:rsid w:val="004252BF"/>
    <w:rsid w:val="004339E1"/>
    <w:rsid w:val="00435E44"/>
    <w:rsid w:val="00440064"/>
    <w:rsid w:val="0044177B"/>
    <w:rsid w:val="004417BE"/>
    <w:rsid w:val="00452615"/>
    <w:rsid w:val="00454906"/>
    <w:rsid w:val="004613D5"/>
    <w:rsid w:val="0046191D"/>
    <w:rsid w:val="0046421D"/>
    <w:rsid w:val="00477A45"/>
    <w:rsid w:val="00480B65"/>
    <w:rsid w:val="00485E14"/>
    <w:rsid w:val="00490BC2"/>
    <w:rsid w:val="0049193B"/>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E0369"/>
    <w:rsid w:val="004E2C7F"/>
    <w:rsid w:val="004E4046"/>
    <w:rsid w:val="004E4338"/>
    <w:rsid w:val="005023DA"/>
    <w:rsid w:val="005035E7"/>
    <w:rsid w:val="00510EA2"/>
    <w:rsid w:val="00521F7A"/>
    <w:rsid w:val="00522E23"/>
    <w:rsid w:val="00523C03"/>
    <w:rsid w:val="00525D1C"/>
    <w:rsid w:val="00541A44"/>
    <w:rsid w:val="00551165"/>
    <w:rsid w:val="0055306A"/>
    <w:rsid w:val="00561CEA"/>
    <w:rsid w:val="00563416"/>
    <w:rsid w:val="0056751C"/>
    <w:rsid w:val="005704F6"/>
    <w:rsid w:val="00587456"/>
    <w:rsid w:val="005A6134"/>
    <w:rsid w:val="005B63D4"/>
    <w:rsid w:val="005C3BB8"/>
    <w:rsid w:val="005D489B"/>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67D7"/>
    <w:rsid w:val="006500F7"/>
    <w:rsid w:val="00650889"/>
    <w:rsid w:val="00661740"/>
    <w:rsid w:val="00661E15"/>
    <w:rsid w:val="00663294"/>
    <w:rsid w:val="00664049"/>
    <w:rsid w:val="00675649"/>
    <w:rsid w:val="006767DE"/>
    <w:rsid w:val="00684518"/>
    <w:rsid w:val="0069297D"/>
    <w:rsid w:val="00693326"/>
    <w:rsid w:val="0069591B"/>
    <w:rsid w:val="006A2DA1"/>
    <w:rsid w:val="006C2080"/>
    <w:rsid w:val="006C44EF"/>
    <w:rsid w:val="006D2546"/>
    <w:rsid w:val="006D36F2"/>
    <w:rsid w:val="006F43C5"/>
    <w:rsid w:val="007039EF"/>
    <w:rsid w:val="007071D8"/>
    <w:rsid w:val="0071218E"/>
    <w:rsid w:val="00712BB5"/>
    <w:rsid w:val="00723019"/>
    <w:rsid w:val="00725DA5"/>
    <w:rsid w:val="00727163"/>
    <w:rsid w:val="00731928"/>
    <w:rsid w:val="0075757C"/>
    <w:rsid w:val="00761ABC"/>
    <w:rsid w:val="00772FDB"/>
    <w:rsid w:val="007827FC"/>
    <w:rsid w:val="007843DE"/>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6B4D"/>
    <w:rsid w:val="007F3C0B"/>
    <w:rsid w:val="007F6E48"/>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902617"/>
    <w:rsid w:val="009062A0"/>
    <w:rsid w:val="00906BC5"/>
    <w:rsid w:val="00911FA6"/>
    <w:rsid w:val="009126E5"/>
    <w:rsid w:val="00913268"/>
    <w:rsid w:val="00915180"/>
    <w:rsid w:val="00915D02"/>
    <w:rsid w:val="009229CD"/>
    <w:rsid w:val="009244F7"/>
    <w:rsid w:val="00925932"/>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4373"/>
    <w:rsid w:val="009D0959"/>
    <w:rsid w:val="009D2715"/>
    <w:rsid w:val="009D5A1F"/>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D691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61179"/>
    <w:rsid w:val="00B62A47"/>
    <w:rsid w:val="00B62A97"/>
    <w:rsid w:val="00B6555F"/>
    <w:rsid w:val="00B70605"/>
    <w:rsid w:val="00B75D01"/>
    <w:rsid w:val="00B841FD"/>
    <w:rsid w:val="00B90075"/>
    <w:rsid w:val="00BB7E5B"/>
    <w:rsid w:val="00BC2D63"/>
    <w:rsid w:val="00BC332C"/>
    <w:rsid w:val="00BD02DA"/>
    <w:rsid w:val="00BF250D"/>
    <w:rsid w:val="00BF275F"/>
    <w:rsid w:val="00BF63CB"/>
    <w:rsid w:val="00C0573E"/>
    <w:rsid w:val="00C0594F"/>
    <w:rsid w:val="00C07105"/>
    <w:rsid w:val="00C14228"/>
    <w:rsid w:val="00C16659"/>
    <w:rsid w:val="00C221CB"/>
    <w:rsid w:val="00C2491E"/>
    <w:rsid w:val="00C250BC"/>
    <w:rsid w:val="00C360F3"/>
    <w:rsid w:val="00C462C0"/>
    <w:rsid w:val="00C5196E"/>
    <w:rsid w:val="00C53E03"/>
    <w:rsid w:val="00C620D6"/>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E0546"/>
    <w:rsid w:val="00CE1687"/>
    <w:rsid w:val="00CF362E"/>
    <w:rsid w:val="00D02E7B"/>
    <w:rsid w:val="00D04558"/>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7EB5"/>
    <w:rsid w:val="00D64B02"/>
    <w:rsid w:val="00D64BE4"/>
    <w:rsid w:val="00D71266"/>
    <w:rsid w:val="00D729A7"/>
    <w:rsid w:val="00D73B36"/>
    <w:rsid w:val="00D821C5"/>
    <w:rsid w:val="00D85C85"/>
    <w:rsid w:val="00D87587"/>
    <w:rsid w:val="00D97D4F"/>
    <w:rsid w:val="00DA7305"/>
    <w:rsid w:val="00DA7F20"/>
    <w:rsid w:val="00DB649A"/>
    <w:rsid w:val="00DB7DDC"/>
    <w:rsid w:val="00DC0A8E"/>
    <w:rsid w:val="00DC2F3D"/>
    <w:rsid w:val="00DC514B"/>
    <w:rsid w:val="00DC5236"/>
    <w:rsid w:val="00DD7AAF"/>
    <w:rsid w:val="00DE209B"/>
    <w:rsid w:val="00DE40D1"/>
    <w:rsid w:val="00DF1C76"/>
    <w:rsid w:val="00E02181"/>
    <w:rsid w:val="00E0692A"/>
    <w:rsid w:val="00E06C61"/>
    <w:rsid w:val="00E077D7"/>
    <w:rsid w:val="00E106C1"/>
    <w:rsid w:val="00E137DD"/>
    <w:rsid w:val="00E16D52"/>
    <w:rsid w:val="00E223A0"/>
    <w:rsid w:val="00E240FC"/>
    <w:rsid w:val="00E351A2"/>
    <w:rsid w:val="00E37B1A"/>
    <w:rsid w:val="00E40FE0"/>
    <w:rsid w:val="00E506C6"/>
    <w:rsid w:val="00E523F6"/>
    <w:rsid w:val="00E542F3"/>
    <w:rsid w:val="00E54357"/>
    <w:rsid w:val="00E56B1A"/>
    <w:rsid w:val="00E573D1"/>
    <w:rsid w:val="00E601F7"/>
    <w:rsid w:val="00E728F2"/>
    <w:rsid w:val="00E73587"/>
    <w:rsid w:val="00E75AA8"/>
    <w:rsid w:val="00E762ED"/>
    <w:rsid w:val="00E77726"/>
    <w:rsid w:val="00E94B61"/>
    <w:rsid w:val="00E96756"/>
    <w:rsid w:val="00EA61A8"/>
    <w:rsid w:val="00EB13CB"/>
    <w:rsid w:val="00ED2DD1"/>
    <w:rsid w:val="00ED7D2D"/>
    <w:rsid w:val="00EE41E1"/>
    <w:rsid w:val="00EF7098"/>
    <w:rsid w:val="00F02136"/>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243"/>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1D"/>
    <w:rPr>
      <w:rFonts w:ascii="Arial" w:hAnsi="Arial"/>
      <w:sz w:val="24"/>
      <w:szCs w:val="24"/>
    </w:rPr>
  </w:style>
  <w:style w:type="paragraph" w:styleId="Heading1">
    <w:name w:val="heading 1"/>
    <w:basedOn w:val="Normal"/>
    <w:next w:val="Normal"/>
    <w:link w:val="Heading1Char"/>
    <w:uiPriority w:val="9"/>
    <w:qFormat/>
    <w:rsid w:val="00AD691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D691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D691D"/>
    <w:pPr>
      <w:outlineLvl w:val="2"/>
    </w:pPr>
    <w:rPr>
      <w:rFonts w:cs="Arial"/>
      <w:i w:val="0"/>
    </w:rPr>
  </w:style>
  <w:style w:type="paragraph" w:styleId="Heading4">
    <w:name w:val="heading 4"/>
    <w:basedOn w:val="Normal"/>
    <w:next w:val="Normal"/>
    <w:link w:val="Heading4Char"/>
    <w:uiPriority w:val="9"/>
    <w:unhideWhenUsed/>
    <w:qFormat/>
    <w:rsid w:val="00AD691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D691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D691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D691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D691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D691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D69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691D"/>
  </w:style>
  <w:style w:type="character" w:customStyle="1" w:styleId="Heading1Char">
    <w:name w:val="Heading 1 Char"/>
    <w:basedOn w:val="DefaultParagraphFont"/>
    <w:link w:val="Heading1"/>
    <w:uiPriority w:val="9"/>
    <w:rsid w:val="00AD691D"/>
    <w:rPr>
      <w:rFonts w:ascii="Arial" w:eastAsiaTheme="majorEastAsia" w:hAnsi="Arial" w:cstheme="majorBidi"/>
      <w:sz w:val="40"/>
    </w:rPr>
  </w:style>
  <w:style w:type="character" w:customStyle="1" w:styleId="Heading2Char">
    <w:name w:val="Heading 2 Char"/>
    <w:basedOn w:val="DefaultParagraphFont"/>
    <w:link w:val="Heading2"/>
    <w:uiPriority w:val="9"/>
    <w:rsid w:val="00AD691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AD691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AD69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AD691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AD691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AD691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D691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D691D"/>
    <w:rPr>
      <w:rFonts w:ascii="Arial" w:eastAsiaTheme="majorEastAsia" w:hAnsi="Arial" w:cstheme="majorBidi"/>
      <w:i/>
      <w:iCs/>
      <w:sz w:val="24"/>
    </w:rPr>
  </w:style>
  <w:style w:type="paragraph" w:styleId="Title">
    <w:name w:val="Title"/>
    <w:basedOn w:val="Normal"/>
    <w:next w:val="Normal"/>
    <w:link w:val="TitleChar"/>
    <w:uiPriority w:val="9"/>
    <w:qFormat/>
    <w:rsid w:val="00AD691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D691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AD691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D691D"/>
    <w:rPr>
      <w:rFonts w:ascii="Arial" w:eastAsiaTheme="majorEastAsia" w:hAnsi="Arial" w:cstheme="majorBidi"/>
      <w:i/>
      <w:iCs/>
      <w:spacing w:val="15"/>
      <w:sz w:val="24"/>
      <w:szCs w:val="24"/>
    </w:rPr>
  </w:style>
  <w:style w:type="character" w:styleId="Strong">
    <w:name w:val="Strong"/>
    <w:basedOn w:val="DefaultParagraphFont"/>
    <w:uiPriority w:val="22"/>
    <w:qFormat/>
    <w:rsid w:val="00AD691D"/>
    <w:rPr>
      <w:rFonts w:ascii="Arial" w:hAnsi="Arial"/>
      <w:b/>
      <w:bCs/>
    </w:rPr>
  </w:style>
  <w:style w:type="character" w:styleId="Emphasis">
    <w:name w:val="Emphasis"/>
    <w:basedOn w:val="DefaultParagraphFont"/>
    <w:uiPriority w:val="20"/>
    <w:qFormat/>
    <w:rsid w:val="00AD691D"/>
    <w:rPr>
      <w:rFonts w:ascii="Arial" w:hAnsi="Arial"/>
      <w:i/>
      <w:iCs/>
    </w:rPr>
  </w:style>
  <w:style w:type="paragraph" w:styleId="NoSpacing">
    <w:name w:val="No Spacing"/>
    <w:uiPriority w:val="1"/>
    <w:qFormat/>
    <w:rsid w:val="00AD691D"/>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AD691D"/>
    <w:pPr>
      <w:ind w:left="720"/>
      <w:contextualSpacing/>
    </w:pPr>
  </w:style>
  <w:style w:type="paragraph" w:styleId="Quote">
    <w:name w:val="Quote"/>
    <w:basedOn w:val="Normal"/>
    <w:next w:val="Normal"/>
    <w:link w:val="QuoteChar"/>
    <w:uiPriority w:val="29"/>
    <w:qFormat/>
    <w:rsid w:val="00AD691D"/>
    <w:rPr>
      <w:i/>
      <w:iCs/>
      <w:color w:val="000000" w:themeColor="text1"/>
    </w:rPr>
  </w:style>
  <w:style w:type="character" w:customStyle="1" w:styleId="QuoteChar">
    <w:name w:val="Quote Char"/>
    <w:basedOn w:val="DefaultParagraphFont"/>
    <w:link w:val="Quote"/>
    <w:uiPriority w:val="29"/>
    <w:rsid w:val="00AD691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AD691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D691D"/>
    <w:rPr>
      <w:rFonts w:ascii="Arial" w:hAnsi="Arial"/>
      <w:b/>
      <w:bCs/>
      <w:i/>
      <w:iCs/>
      <w:sz w:val="24"/>
      <w:szCs w:val="24"/>
    </w:rPr>
  </w:style>
  <w:style w:type="character" w:styleId="SubtleEmphasis">
    <w:name w:val="Subtle Emphasis"/>
    <w:basedOn w:val="DefaultParagraphFont"/>
    <w:uiPriority w:val="19"/>
    <w:qFormat/>
    <w:rsid w:val="00AD691D"/>
    <w:rPr>
      <w:rFonts w:ascii="Arial" w:hAnsi="Arial"/>
      <w:i/>
      <w:iCs/>
      <w:color w:val="808080" w:themeColor="text1" w:themeTint="7F"/>
    </w:rPr>
  </w:style>
  <w:style w:type="character" w:styleId="IntenseEmphasis">
    <w:name w:val="Intense Emphasis"/>
    <w:basedOn w:val="DefaultParagraphFont"/>
    <w:uiPriority w:val="21"/>
    <w:qFormat/>
    <w:rsid w:val="00AD691D"/>
    <w:rPr>
      <w:rFonts w:ascii="Arial" w:hAnsi="Arial"/>
      <w:b/>
      <w:bCs/>
    </w:rPr>
  </w:style>
  <w:style w:type="character" w:styleId="SubtleReference">
    <w:name w:val="Subtle Reference"/>
    <w:basedOn w:val="DefaultParagraphFont"/>
    <w:uiPriority w:val="31"/>
    <w:qFormat/>
    <w:rsid w:val="00AD691D"/>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AD691D"/>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AD691D"/>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AD691D"/>
    <w:rPr>
      <w:b/>
      <w:bCs/>
      <w:smallCaps/>
      <w:color w:val="C0504D" w:themeColor="accent2"/>
      <w:spacing w:val="5"/>
      <w:u w:val="single"/>
    </w:rPr>
  </w:style>
  <w:style w:type="character" w:styleId="BookTitle">
    <w:name w:val="Book Title"/>
    <w:basedOn w:val="DefaultParagraphFont"/>
    <w:uiPriority w:val="33"/>
    <w:qFormat/>
    <w:rsid w:val="00AD691D"/>
    <w:rPr>
      <w:b/>
      <w:bCs/>
      <w:smallCaps/>
      <w:spacing w:val="5"/>
    </w:rPr>
  </w:style>
  <w:style w:type="paragraph" w:customStyle="1" w:styleId="AppleFill">
    <w:name w:val="Apple Fill"/>
    <w:basedOn w:val="Normal"/>
    <w:link w:val="AppleFillChar"/>
    <w:uiPriority w:val="10"/>
    <w:qFormat/>
    <w:rsid w:val="00AD691D"/>
    <w:rPr>
      <w:b/>
      <w:color w:val="FFFFFF" w:themeColor="background1"/>
      <w:shd w:val="clear" w:color="auto" w:fill="9BBB59" w:themeFill="accent3"/>
    </w:rPr>
  </w:style>
  <w:style w:type="paragraph" w:customStyle="1" w:styleId="AquaFill">
    <w:name w:val="Aqua Fill"/>
    <w:basedOn w:val="Normal"/>
    <w:link w:val="AquaFillChar"/>
    <w:uiPriority w:val="10"/>
    <w:qFormat/>
    <w:rsid w:val="00AD691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D691D"/>
    <w:rPr>
      <w:rFonts w:ascii="Arial" w:hAnsi="Arial"/>
      <w:b/>
      <w:color w:val="FFFFFF" w:themeColor="background1"/>
      <w:sz w:val="24"/>
      <w:szCs w:val="24"/>
    </w:rPr>
  </w:style>
  <w:style w:type="paragraph" w:customStyle="1" w:styleId="WineFill">
    <w:name w:val="Wine Fill"/>
    <w:basedOn w:val="Normal"/>
    <w:link w:val="WineFillChar"/>
    <w:uiPriority w:val="9"/>
    <w:qFormat/>
    <w:rsid w:val="00AD691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D691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AD691D"/>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table" w:customStyle="1" w:styleId="TableGrid2">
    <w:name w:val="Table Grid2"/>
    <w:basedOn w:val="TableNormal"/>
    <w:next w:val="TableGrid"/>
    <w:uiPriority w:val="59"/>
    <w:rsid w:val="00490BC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4B7481BC87024D838BACFE56EB00D3EA">
    <w:name w:val="4B7481BC87024D838BACFE56EB00D3EA"/>
    <w:rsid w:val="008C1810"/>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GC_115325441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Redevelopment Planning Task Force</committee>
    <meetingId xmlns="e6cd7bd4-3f3e-4495-b8c9-139289cd76e6">[2021-01-22 Long Term Care Redevelopment Planning Task Force [10150]]</meetingId>
    <capitalProjectPriority xmlns="e6cd7bd4-3f3e-4495-b8c9-139289cd76e6" xsi:nil="true"/>
    <policyApprovalDate xmlns="e6cd7bd4-3f3e-4495-b8c9-139289cd76e6" xsi:nil="true"/>
    <NodeRef xmlns="e6cd7bd4-3f3e-4495-b8c9-139289cd76e6">2892ce18-004c-44ac-89fa-e5a7d182e818</NodeRef>
    <addressees xmlns="e6cd7bd4-3f3e-4495-b8c9-139289cd76e6" xsi:nil="true"/>
    <identifier xmlns="e6cd7bd4-3f3e-4495-b8c9-139289cd76e6">2021-1640959230421</identifier>
    <reviewAsOf xmlns="e6cd7bd4-3f3e-4495-b8c9-139289cd76e6">2031-12-31T14:00:34+00:00</reviewAsOf>
    <bylawNumber xmlns="e6cd7bd4-3f3e-4495-b8c9-139289cd76e6" xsi:nil="true"/>
    <addressee xmlns="e6cd7bd4-3f3e-4495-b8c9-139289cd76e6" xsi:nil="true"/>
    <recordOriginatingLocation xmlns="e6cd7bd4-3f3e-4495-b8c9-139289cd76e6">workspace://SpacesStore/8a3e878a-bc30-4a78-a09e-46c0e1e212c8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59479D3B-80EA-4E65-A7A7-CAA6E0025078}">
  <ds:schemaRefs>
    <ds:schemaRef ds:uri="http://schemas.openxmlformats.org/officeDocument/2006/bibliography"/>
  </ds:schemaRefs>
</ds:datastoreItem>
</file>

<file path=customXml/itemProps2.xml><?xml version="1.0" encoding="utf-8"?>
<ds:datastoreItem xmlns:ds="http://schemas.openxmlformats.org/officeDocument/2006/customXml" ds:itemID="{F74B0A97-B4E9-463A-9E8A-E0B89A635D85}"/>
</file>

<file path=customXml/itemProps3.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4.xml><?xml version="1.0" encoding="utf-8"?>
<ds:datastoreItem xmlns:ds="http://schemas.openxmlformats.org/officeDocument/2006/customXml" ds:itemID="{C034D79F-4746-4088-9501-C74242836C27}">
  <ds:schemaRefs>
    <ds:schemaRef ds:uri="9e0655d3-2de9-420f-a513-3f5c522f8a4c"/>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5e0bac25-66ac-4bb1-b391-4c16a8864d9a"/>
    <ds:schemaRef ds:uri="http://www.w3.org/XML/1998/namespace"/>
    <ds:schemaRef ds:uri="http://purl.org/dc/dcmitype/"/>
  </ds:schemaRefs>
</ds:datastoreItem>
</file>

<file path=customXml/itemProps5.xml><?xml version="1.0" encoding="utf-8"?>
<ds:datastoreItem xmlns:ds="http://schemas.openxmlformats.org/officeDocument/2006/customXml" ds:itemID="{1B0200A0-A7BA-4973-BFF7-6059AFC2D5D6}"/>
</file>

<file path=docProps/app.xml><?xml version="1.0" encoding="utf-8"?>
<Properties xmlns="http://schemas.openxmlformats.org/officeDocument/2006/extended-properties" xmlns:vt="http://schemas.openxmlformats.org/officeDocument/2006/docPropsVTypes">
  <Template>Normal</Template>
  <TotalTime>87</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Recommendation on Consultant Proposal for Grey Gables</vt:lpstr>
    </vt:vector>
  </TitlesOfParts>
  <Company>County of Grey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on Consultant Proposal for Grey Gables</dc:title>
  <dc:creator>Elder, Nancy</dc:creator>
  <cp:lastModifiedBy>Tara Warder</cp:lastModifiedBy>
  <cp:revision>10</cp:revision>
  <cp:lastPrinted>2014-04-01T13:48:00Z</cp:lastPrinted>
  <dcterms:created xsi:type="dcterms:W3CDTF">2021-01-14T20:52:00Z</dcterms:created>
  <dcterms:modified xsi:type="dcterms:W3CDTF">2021-02-19T21:01:00Z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