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2">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5B140EF5" w:rsidR="009C4373" w:rsidRDefault="009C4373" w:rsidP="00760C9B">
            <w:pPr>
              <w:spacing w:before="60" w:after="60"/>
            </w:pPr>
            <w:r>
              <w:t>Warden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40EB6DAD" w:rsidR="009C4373" w:rsidRDefault="00913AD1" w:rsidP="00760C9B">
            <w:pPr>
              <w:spacing w:before="60" w:after="60"/>
            </w:pPr>
            <w:r>
              <w:t xml:space="preserve">December </w:t>
            </w:r>
            <w:r w:rsidR="00A34146">
              <w:t>9</w:t>
            </w:r>
            <w:r>
              <w:t>, 202</w:t>
            </w:r>
            <w:r w:rsidR="00A34146">
              <w:t>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4797ADA2" w:rsidR="009C4373" w:rsidRDefault="00913AD1" w:rsidP="00760C9B">
            <w:pPr>
              <w:spacing w:before="60" w:after="60"/>
            </w:pPr>
            <w:r>
              <w:t>CCR-CW-01-2</w:t>
            </w:r>
            <w:r w:rsidR="00A34146">
              <w:t>2</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4E73520" w:rsidR="009C4373" w:rsidRDefault="00913AD1" w:rsidP="00760C9B">
                <w:pPr>
                  <w:spacing w:before="60" w:after="60"/>
                </w:pPr>
                <w:r>
                  <w:t>202</w:t>
                </w:r>
                <w:r w:rsidR="00A34146">
                  <w:t>2</w:t>
                </w:r>
                <w:r>
                  <w:t xml:space="preserve"> Committee Appointments</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36937B8A" w:rsidR="009C4373" w:rsidRDefault="00913AD1" w:rsidP="00760C9B">
            <w:pPr>
              <w:spacing w:before="60" w:after="60"/>
            </w:pPr>
            <w:r>
              <w:t>Heather Morrison</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060BC071" w:rsidR="009C4373" w:rsidRDefault="00913AD1" w:rsidP="00760C9B">
            <w:pPr>
              <w:spacing w:before="60" w:after="60"/>
            </w:pPr>
            <w:r>
              <w:t>Kim Wingrove</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6482BE43" w:rsidR="009C4373" w:rsidRDefault="00913AD1" w:rsidP="00760C9B">
            <w:pPr>
              <w:spacing w:before="60" w:after="60"/>
            </w:pPr>
            <w:r>
              <w:t>None</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4A25D88C" w:rsidR="009C4373" w:rsidRDefault="00472400" w:rsidP="00760C9B">
            <w:pPr>
              <w:spacing w:before="60" w:after="60"/>
            </w:pPr>
            <w:r>
              <w:t xml:space="preserve">Recommendation adopted by Committee </w:t>
            </w:r>
            <w:r w:rsidR="0077204D">
              <w:t xml:space="preserve">as amended per Resolution CW05-22; </w:t>
            </w:r>
            <w:r w:rsidR="00F04F02">
              <w:rPr>
                <w:rStyle w:val="IntenseEmphasis"/>
                <w:b w:val="0"/>
              </w:rPr>
              <w:t xml:space="preserve">Endorsed by County Council January 13, </w:t>
            </w:r>
            <w:proofErr w:type="gramStart"/>
            <w:r w:rsidR="00F04F02">
              <w:rPr>
                <w:rStyle w:val="IntenseEmphasis"/>
                <w:b w:val="0"/>
              </w:rPr>
              <w:t>2022</w:t>
            </w:r>
            <w:proofErr w:type="gramEnd"/>
            <w:r w:rsidR="00F04F02">
              <w:rPr>
                <w:rStyle w:val="IntenseEmphasis"/>
                <w:b w:val="0"/>
              </w:rPr>
              <w:t xml:space="preserve"> per Resolution CC11-22</w:t>
            </w:r>
          </w:p>
        </w:tc>
      </w:tr>
    </w:tbl>
    <w:p w14:paraId="22045908" w14:textId="77777777" w:rsidR="00893CEB" w:rsidRDefault="00893CEB" w:rsidP="00893CEB">
      <w:pPr>
        <w:pStyle w:val="Heading1"/>
      </w:pPr>
      <w:r>
        <w:t>Recommendation</w:t>
      </w:r>
    </w:p>
    <w:p w14:paraId="1BD85B9B" w14:textId="308A78E8" w:rsidR="00893CEB" w:rsidRDefault="00893CEB" w:rsidP="00D2348C">
      <w:pPr>
        <w:pStyle w:val="Level1"/>
        <w:rPr>
          <w:b/>
          <w:bCs w:val="0"/>
        </w:rPr>
      </w:pPr>
      <w:r w:rsidRPr="00D2348C">
        <w:rPr>
          <w:b/>
          <w:bCs w:val="0"/>
        </w:rPr>
        <w:t xml:space="preserve">That </w:t>
      </w:r>
      <w:r w:rsidR="00913AD1">
        <w:rPr>
          <w:b/>
          <w:bCs w:val="0"/>
        </w:rPr>
        <w:t>Report CC</w:t>
      </w:r>
      <w:r w:rsidR="006C20EE">
        <w:rPr>
          <w:b/>
          <w:bCs w:val="0"/>
        </w:rPr>
        <w:t>R</w:t>
      </w:r>
      <w:r w:rsidR="00913AD1">
        <w:rPr>
          <w:b/>
          <w:bCs w:val="0"/>
        </w:rPr>
        <w:t>-C</w:t>
      </w:r>
      <w:r w:rsidR="006C20EE">
        <w:rPr>
          <w:b/>
          <w:bCs w:val="0"/>
        </w:rPr>
        <w:t>W</w:t>
      </w:r>
      <w:r w:rsidR="00913AD1">
        <w:rPr>
          <w:b/>
          <w:bCs w:val="0"/>
        </w:rPr>
        <w:t>-01-2</w:t>
      </w:r>
      <w:r w:rsidR="00A34146">
        <w:rPr>
          <w:b/>
          <w:bCs w:val="0"/>
        </w:rPr>
        <w:t>2</w:t>
      </w:r>
      <w:r w:rsidR="00913AD1">
        <w:rPr>
          <w:b/>
          <w:bCs w:val="0"/>
        </w:rPr>
        <w:t xml:space="preserve"> be </w:t>
      </w:r>
      <w:r w:rsidR="0005394D">
        <w:rPr>
          <w:b/>
          <w:bCs w:val="0"/>
        </w:rPr>
        <w:t>received,</w:t>
      </w:r>
      <w:r w:rsidR="00913AD1">
        <w:rPr>
          <w:b/>
          <w:bCs w:val="0"/>
        </w:rPr>
        <w:t xml:space="preserve"> and the following appointments be confirmed for 202</w:t>
      </w:r>
      <w:r w:rsidR="00A34146">
        <w:rPr>
          <w:b/>
          <w:bCs w:val="0"/>
        </w:rPr>
        <w:t>2</w:t>
      </w:r>
      <w:r w:rsidRPr="00D2348C">
        <w:rPr>
          <w:b/>
          <w:bCs w:val="0"/>
        </w:rPr>
        <w:t>;</w:t>
      </w:r>
      <w:r w:rsidR="00A34146">
        <w:rPr>
          <w:b/>
          <w:bCs w:val="0"/>
        </w:rPr>
        <w:t xml:space="preserve"> and</w:t>
      </w:r>
      <w:r w:rsidRPr="00D2348C">
        <w:rPr>
          <w:b/>
          <w:bCs w:val="0"/>
        </w:rPr>
        <w:t xml:space="preserve"> </w:t>
      </w:r>
    </w:p>
    <w:p w14:paraId="2A96A9CB" w14:textId="201D70F7" w:rsidR="005A165F" w:rsidRPr="00D2348C" w:rsidRDefault="005A165F" w:rsidP="00D2348C">
      <w:pPr>
        <w:pStyle w:val="Level1"/>
        <w:rPr>
          <w:b/>
          <w:bCs w:val="0"/>
        </w:rPr>
      </w:pPr>
      <w:r>
        <w:rPr>
          <w:b/>
          <w:bCs w:val="0"/>
        </w:rPr>
        <w:t xml:space="preserve">That Warden </w:t>
      </w:r>
      <w:r w:rsidR="00A34146">
        <w:rPr>
          <w:b/>
          <w:bCs w:val="0"/>
        </w:rPr>
        <w:t>________</w:t>
      </w:r>
      <w:r>
        <w:rPr>
          <w:b/>
          <w:bCs w:val="0"/>
        </w:rPr>
        <w:t xml:space="preserve"> be appointed to the Owen Sound Community Advisory Committee for Georgian College; and</w:t>
      </w:r>
    </w:p>
    <w:p w14:paraId="0A312916" w14:textId="515C01CA" w:rsidR="00E0692A" w:rsidRDefault="00893CEB" w:rsidP="00E0692A">
      <w:pPr>
        <w:pStyle w:val="Level1"/>
        <w:rPr>
          <w:b/>
          <w:bCs w:val="0"/>
        </w:rPr>
      </w:pPr>
      <w:r w:rsidRPr="00D2348C">
        <w:rPr>
          <w:b/>
          <w:bCs w:val="0"/>
        </w:rPr>
        <w:t xml:space="preserve">That </w:t>
      </w:r>
      <w:r w:rsidR="00913AD1">
        <w:rPr>
          <w:b/>
          <w:bCs w:val="0"/>
        </w:rPr>
        <w:t>elections for</w:t>
      </w:r>
      <w:r w:rsidR="00BD0806">
        <w:rPr>
          <w:b/>
          <w:bCs w:val="0"/>
        </w:rPr>
        <w:t xml:space="preserve"> any committees required</w:t>
      </w:r>
      <w:r w:rsidR="00913AD1">
        <w:rPr>
          <w:b/>
          <w:bCs w:val="0"/>
        </w:rPr>
        <w:t xml:space="preserve"> be voted on by single vote; and</w:t>
      </w:r>
    </w:p>
    <w:p w14:paraId="15130119" w14:textId="06DD5BFF" w:rsidR="00913AD1" w:rsidRDefault="00913AD1" w:rsidP="00E0692A">
      <w:pPr>
        <w:pStyle w:val="Level1"/>
        <w:rPr>
          <w:b/>
          <w:bCs w:val="0"/>
        </w:rPr>
      </w:pPr>
      <w:r>
        <w:rPr>
          <w:b/>
          <w:bCs w:val="0"/>
        </w:rPr>
        <w:t>That the Climate Change Task Force, Affordable Housing Task Force and Hanover-Owen Sound Task Force appointments continue</w:t>
      </w:r>
      <w:r w:rsidR="00EB47B1">
        <w:rPr>
          <w:b/>
          <w:bCs w:val="0"/>
        </w:rPr>
        <w:t xml:space="preserve"> in </w:t>
      </w:r>
      <w:r>
        <w:rPr>
          <w:b/>
          <w:bCs w:val="0"/>
        </w:rPr>
        <w:t>202</w:t>
      </w:r>
      <w:r w:rsidR="00A34146">
        <w:rPr>
          <w:b/>
          <w:bCs w:val="0"/>
        </w:rPr>
        <w:t>2</w:t>
      </w:r>
      <w:r>
        <w:rPr>
          <w:b/>
          <w:bCs w:val="0"/>
        </w:rPr>
        <w:t xml:space="preserve"> until the end of the respective Task Force mandates; and</w:t>
      </w:r>
    </w:p>
    <w:p w14:paraId="4D0C106D" w14:textId="076235AB" w:rsidR="006D4627" w:rsidRDefault="006D4627" w:rsidP="00E0692A">
      <w:pPr>
        <w:pStyle w:val="Level1"/>
        <w:rPr>
          <w:b/>
          <w:bCs w:val="0"/>
        </w:rPr>
      </w:pPr>
      <w:r>
        <w:rPr>
          <w:b/>
          <w:bCs w:val="0"/>
        </w:rPr>
        <w:t>That in accordance with the Terms of Reference, the membership of the Long-Term Care Redevelopment and Planning Task Force remain the same until the end of the council term; and</w:t>
      </w:r>
    </w:p>
    <w:p w14:paraId="3F4D8100" w14:textId="225F1378" w:rsidR="00913AD1" w:rsidRPr="00D2348C" w:rsidRDefault="00913AD1" w:rsidP="00E0692A">
      <w:pPr>
        <w:pStyle w:val="Level1"/>
        <w:rPr>
          <w:b/>
          <w:bCs w:val="0"/>
        </w:rPr>
      </w:pPr>
      <w:r>
        <w:rPr>
          <w:b/>
          <w:bCs w:val="0"/>
        </w:rPr>
        <w:t>That all other required appointments contained in Report CCR-CW-01-2</w:t>
      </w:r>
      <w:r w:rsidR="00A34146">
        <w:rPr>
          <w:b/>
          <w:bCs w:val="0"/>
        </w:rPr>
        <w:t>2</w:t>
      </w:r>
      <w:r>
        <w:rPr>
          <w:b/>
          <w:bCs w:val="0"/>
        </w:rPr>
        <w:t xml:space="preserve"> be endorsed. </w:t>
      </w:r>
    </w:p>
    <w:p w14:paraId="48D663CE" w14:textId="77777777" w:rsidR="00893CEB" w:rsidRDefault="00893CEB" w:rsidP="00893CEB">
      <w:pPr>
        <w:pStyle w:val="Heading2"/>
      </w:pPr>
      <w:r>
        <w:t>Executive Summary</w:t>
      </w:r>
    </w:p>
    <w:p w14:paraId="63BFABB4" w14:textId="5F714FF9" w:rsidR="00893CEB" w:rsidRDefault="00913AD1" w:rsidP="00893CEB">
      <w:r>
        <w:t>This report confirms the committee appointments for 202</w:t>
      </w:r>
      <w:r w:rsidR="00A34146">
        <w:t>2</w:t>
      </w:r>
      <w:r>
        <w:t xml:space="preserve">.  Grey County has several internal committees as well as external committees which Grey County Council serve.  </w:t>
      </w:r>
      <w:r>
        <w:lastRenderedPageBreak/>
        <w:t xml:space="preserve">There is no requirement for </w:t>
      </w:r>
      <w:proofErr w:type="spellStart"/>
      <w:r>
        <w:t>councillors</w:t>
      </w:r>
      <w:proofErr w:type="spellEnd"/>
      <w:r>
        <w:t xml:space="preserve"> to sit on any committees nor is there a limit of the number of committees a </w:t>
      </w:r>
      <w:proofErr w:type="spellStart"/>
      <w:r>
        <w:t>councillor</w:t>
      </w:r>
      <w:proofErr w:type="spellEnd"/>
      <w:r>
        <w:t xml:space="preserve"> can be a member of. </w:t>
      </w:r>
    </w:p>
    <w:p w14:paraId="4B2AF860" w14:textId="77777777" w:rsidR="00893CEB" w:rsidRDefault="00893CEB" w:rsidP="00893CEB">
      <w:pPr>
        <w:pStyle w:val="Heading2"/>
      </w:pPr>
      <w:r>
        <w:t>Background and Discussion</w:t>
      </w:r>
    </w:p>
    <w:p w14:paraId="4A874880" w14:textId="7BAE668A" w:rsidR="00893CEB" w:rsidRDefault="00913AD1" w:rsidP="00893CEB">
      <w:r>
        <w:t xml:space="preserve">Staff sent out a request to council members for their first and second choices related to available appointments for agencies, </w:t>
      </w:r>
      <w:proofErr w:type="gramStart"/>
      <w:r>
        <w:t>boards</w:t>
      </w:r>
      <w:proofErr w:type="gramEnd"/>
      <w:r>
        <w:t xml:space="preserve"> and committees for 202</w:t>
      </w:r>
      <w:r w:rsidR="00A34146">
        <w:t>2</w:t>
      </w:r>
      <w:r>
        <w:t xml:space="preserve"> in late November. </w:t>
      </w:r>
    </w:p>
    <w:p w14:paraId="36708349" w14:textId="1C829DFF" w:rsidR="005A165F" w:rsidRDefault="005A165F" w:rsidP="00893CEB">
      <w:r>
        <w:t xml:space="preserve">Report CCR-CW-08-19 confirmed the annual appointment of the Warden to the Alternative Land Use Services (ALUS) Grey Bruce Chapter Board Partner Advisory Committee.  </w:t>
      </w:r>
    </w:p>
    <w:p w14:paraId="5A9CAE65" w14:textId="617B0983" w:rsidR="001905D0" w:rsidRDefault="00A34146" w:rsidP="00893CEB">
      <w:r>
        <w:t>It is recommended that t</w:t>
      </w:r>
      <w:r w:rsidR="001905D0">
        <w:t xml:space="preserve">he Hanover-Owen Sound Task Force, Affordable Housing Task </w:t>
      </w:r>
      <w:proofErr w:type="gramStart"/>
      <w:r w:rsidR="001905D0">
        <w:t>Force</w:t>
      </w:r>
      <w:proofErr w:type="gramEnd"/>
      <w:r w:rsidR="001905D0">
        <w:t xml:space="preserve"> and the Climate Change Task Force memberships remain</w:t>
      </w:r>
      <w:r w:rsidR="006C20EE">
        <w:t xml:space="preserve"> unchanged</w:t>
      </w:r>
      <w:r w:rsidR="001905D0">
        <w:t xml:space="preserve"> </w:t>
      </w:r>
      <w:r>
        <w:t xml:space="preserve">until the end of their respective mandates, as identified in the respective Terms of Reference.  The Long-Term Care Redevelopment and Planning Task Force will remain the same under the end of the term of Council. </w:t>
      </w:r>
      <w:r w:rsidR="00132AA4">
        <w:t xml:space="preserve"> The Health Care Funding Roles and Responsibilities Task Force, upon endorsement of the funding policy, will be dissolved as its mandate has been met. </w:t>
      </w:r>
    </w:p>
    <w:p w14:paraId="0A384D0B" w14:textId="26E0C222" w:rsidR="00DA7DF3" w:rsidRDefault="00FE3272" w:rsidP="00893CEB">
      <w:r>
        <w:t xml:space="preserve">There are a few positions still available and others that may require an election depending on the outcome of the election of the Warden.  </w:t>
      </w:r>
      <w:r w:rsidR="000C475A">
        <w:t xml:space="preserve">As well, with the passing of Councillor Potter and no replacement for this position at the time of this report, staff reached out to Councillor Soever for potential “placeholder” appointments for the new Councillor </w:t>
      </w:r>
      <w:r w:rsidR="00DA7DF3">
        <w:t>once</w:t>
      </w:r>
      <w:r w:rsidR="000C475A">
        <w:t xml:space="preserve"> they are sworn in as a Grey County Councillor.  These have been added to the chart as well.  </w:t>
      </w:r>
    </w:p>
    <w:p w14:paraId="770846B9" w14:textId="1D6A1870" w:rsidR="001905D0" w:rsidRDefault="001905D0" w:rsidP="00893CEB">
      <w:r>
        <w:t>The following chart indicates the preferences of council members and the required number of appointments per committee</w:t>
      </w:r>
      <w:r w:rsidR="00FE3272">
        <w:t xml:space="preserve">:  </w:t>
      </w:r>
    </w:p>
    <w:p w14:paraId="144458F4" w14:textId="1D1533E0" w:rsidR="00EB47B1" w:rsidRDefault="00EB47B1">
      <w:r>
        <w:br w:type="page"/>
      </w:r>
    </w:p>
    <w:tbl>
      <w:tblPr>
        <w:tblW w:w="9340" w:type="dxa"/>
        <w:tblCellMar>
          <w:left w:w="0" w:type="dxa"/>
          <w:right w:w="0" w:type="dxa"/>
        </w:tblCellMar>
        <w:tblLook w:val="04A0" w:firstRow="1" w:lastRow="0" w:firstColumn="1" w:lastColumn="0" w:noHBand="0" w:noVBand="1"/>
      </w:tblPr>
      <w:tblGrid>
        <w:gridCol w:w="3048"/>
        <w:gridCol w:w="3148"/>
        <w:gridCol w:w="3144"/>
      </w:tblGrid>
      <w:tr w:rsidR="00EB47B1" w14:paraId="72664F0A" w14:textId="77777777" w:rsidTr="000C475A">
        <w:trPr>
          <w:trHeight w:val="700"/>
        </w:trPr>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067204" w14:textId="77777777" w:rsidR="00EB47B1" w:rsidRDefault="00EB47B1" w:rsidP="00BE1435">
            <w:r>
              <w:rPr>
                <w:rFonts w:cs="Arial"/>
                <w:b/>
                <w:bCs/>
                <w:sz w:val="28"/>
                <w:szCs w:val="28"/>
              </w:rPr>
              <w:lastRenderedPageBreak/>
              <w:t>Appointment</w:t>
            </w:r>
          </w:p>
        </w:tc>
        <w:tc>
          <w:tcPr>
            <w:tcW w:w="3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10C58" w14:textId="77777777" w:rsidR="00EB47B1" w:rsidRDefault="00EB47B1" w:rsidP="000C475A">
            <w:pPr>
              <w:spacing w:after="0"/>
            </w:pPr>
            <w:r>
              <w:rPr>
                <w:rFonts w:cs="Arial"/>
                <w:b/>
                <w:bCs/>
                <w:sz w:val="28"/>
                <w:szCs w:val="28"/>
              </w:rPr>
              <w:t>Membership Required</w:t>
            </w:r>
          </w:p>
        </w:tc>
        <w:tc>
          <w:tcPr>
            <w:tcW w:w="3144" w:type="dxa"/>
            <w:tcBorders>
              <w:top w:val="single" w:sz="8" w:space="0" w:color="auto"/>
              <w:left w:val="nil"/>
              <w:bottom w:val="single" w:sz="8" w:space="0" w:color="auto"/>
              <w:right w:val="single" w:sz="8" w:space="0" w:color="auto"/>
            </w:tcBorders>
          </w:tcPr>
          <w:p w14:paraId="6F5386C6" w14:textId="77777777" w:rsidR="00EB47B1" w:rsidRDefault="00EB47B1" w:rsidP="00BE1435">
            <w:pPr>
              <w:rPr>
                <w:rFonts w:cs="Arial"/>
                <w:b/>
                <w:bCs/>
                <w:sz w:val="28"/>
                <w:szCs w:val="28"/>
              </w:rPr>
            </w:pPr>
            <w:r>
              <w:rPr>
                <w:rFonts w:cs="Arial"/>
                <w:b/>
                <w:bCs/>
                <w:sz w:val="28"/>
                <w:szCs w:val="28"/>
              </w:rPr>
              <w:t>N</w:t>
            </w:r>
            <w:r>
              <w:rPr>
                <w:rFonts w:cs="Arial"/>
                <w:b/>
                <w:sz w:val="28"/>
                <w:szCs w:val="28"/>
              </w:rPr>
              <w:t>ames</w:t>
            </w:r>
          </w:p>
        </w:tc>
      </w:tr>
      <w:tr w:rsidR="00EB47B1" w14:paraId="0438D7FB" w14:textId="77777777" w:rsidTr="00132AA4">
        <w:trPr>
          <w:trHeight w:val="1357"/>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32F3D" w14:textId="1901DCD7" w:rsidR="00EB47B1" w:rsidRDefault="00EB47B1" w:rsidP="00BE1435">
            <w:pPr>
              <w:rPr>
                <w:rFonts w:cs="Arial"/>
                <w:b/>
                <w:bCs/>
              </w:rPr>
            </w:pPr>
            <w:r>
              <w:rPr>
                <w:rFonts w:cs="Arial"/>
                <w:b/>
                <w:bCs/>
              </w:rPr>
              <w:t xml:space="preserve">Economic Development </w:t>
            </w:r>
            <w:r w:rsidR="00FE3272">
              <w:rPr>
                <w:rFonts w:cs="Arial"/>
                <w:b/>
                <w:bCs/>
              </w:rPr>
              <w:t xml:space="preserve">and Planning Advisory </w:t>
            </w:r>
            <w:r>
              <w:rPr>
                <w:rFonts w:cs="Arial"/>
                <w:b/>
                <w:bCs/>
              </w:rPr>
              <w:t>Committee</w:t>
            </w:r>
          </w:p>
          <w:p w14:paraId="616813B2" w14:textId="24282A94" w:rsidR="00EB47B1" w:rsidRPr="009213D7" w:rsidRDefault="00EB47B1" w:rsidP="00BE1435">
            <w:pPr>
              <w:rPr>
                <w:b/>
                <w:bCs/>
                <w:color w:val="FF0000"/>
              </w:rPr>
            </w:pP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70C87A03" w14:textId="41FE5D70" w:rsidR="00EB47B1" w:rsidRDefault="00132AA4" w:rsidP="00BE1435">
            <w:r>
              <w:rPr>
                <w:rFonts w:cs="Arial"/>
                <w:b/>
                <w:bCs/>
              </w:rPr>
              <w:t xml:space="preserve">Up to </w:t>
            </w:r>
            <w:r w:rsidR="006D4627">
              <w:rPr>
                <w:rFonts w:cs="Arial"/>
                <w:b/>
                <w:bCs/>
              </w:rPr>
              <w:t>7</w:t>
            </w:r>
            <w:r w:rsidR="00EB47B1">
              <w:rPr>
                <w:rFonts w:cs="Arial"/>
                <w:b/>
                <w:bCs/>
              </w:rPr>
              <w:t xml:space="preserve"> </w:t>
            </w:r>
            <w:proofErr w:type="spellStart"/>
            <w:r w:rsidR="00EB47B1">
              <w:rPr>
                <w:rFonts w:cs="Arial"/>
                <w:b/>
                <w:bCs/>
              </w:rPr>
              <w:t>councillors</w:t>
            </w:r>
            <w:proofErr w:type="spellEnd"/>
            <w:r w:rsidR="00EB47B1">
              <w:rPr>
                <w:rFonts w:cs="Arial"/>
                <w:b/>
                <w:bCs/>
              </w:rPr>
              <w:t xml:space="preserve"> plus Warden</w:t>
            </w:r>
          </w:p>
        </w:tc>
        <w:tc>
          <w:tcPr>
            <w:tcW w:w="3144" w:type="dxa"/>
            <w:tcBorders>
              <w:top w:val="nil"/>
              <w:left w:val="nil"/>
              <w:bottom w:val="single" w:sz="8" w:space="0" w:color="auto"/>
              <w:right w:val="single" w:sz="8" w:space="0" w:color="auto"/>
            </w:tcBorders>
          </w:tcPr>
          <w:p w14:paraId="7FDAD429" w14:textId="3547D287" w:rsidR="00FE3272" w:rsidRDefault="00EB47B1" w:rsidP="00132AA4">
            <w:pPr>
              <w:spacing w:after="0"/>
              <w:rPr>
                <w:rFonts w:cs="Arial"/>
                <w:b/>
                <w:bCs/>
              </w:rPr>
            </w:pPr>
            <w:r>
              <w:rPr>
                <w:rFonts w:cs="Arial"/>
                <w:b/>
                <w:bCs/>
              </w:rPr>
              <w:t>Keaveney, Hutchinson, Woodbury, Boddy, Carleton</w:t>
            </w:r>
            <w:r w:rsidR="000C475A">
              <w:rPr>
                <w:rFonts w:cs="Arial"/>
                <w:b/>
                <w:bCs/>
              </w:rPr>
              <w:t xml:space="preserve">, Town of Blue Mountains Councillor </w:t>
            </w:r>
            <w:r w:rsidR="00FE3272">
              <w:rPr>
                <w:rFonts w:cs="Arial"/>
                <w:b/>
                <w:bCs/>
              </w:rPr>
              <w:t xml:space="preserve"> </w:t>
            </w:r>
          </w:p>
          <w:p w14:paraId="55FDC9F0" w14:textId="1AC3F369" w:rsidR="00EB47B1" w:rsidRPr="00FE3272" w:rsidRDefault="000C475A" w:rsidP="000C475A">
            <w:pPr>
              <w:spacing w:after="0"/>
              <w:rPr>
                <w:rFonts w:cs="Arial"/>
                <w:b/>
                <w:bCs/>
                <w:color w:val="FF0000"/>
              </w:rPr>
            </w:pPr>
            <w:r>
              <w:rPr>
                <w:rFonts w:cs="Arial"/>
                <w:b/>
                <w:bCs/>
                <w:color w:val="FF0000"/>
              </w:rPr>
              <w:t>1</w:t>
            </w:r>
            <w:r w:rsidR="00FE3272">
              <w:rPr>
                <w:rFonts w:cs="Arial"/>
                <w:b/>
                <w:bCs/>
                <w:color w:val="FF0000"/>
              </w:rPr>
              <w:t xml:space="preserve"> position available</w:t>
            </w:r>
          </w:p>
        </w:tc>
      </w:tr>
      <w:tr w:rsidR="00EB47B1" w14:paraId="098DBB03" w14:textId="77777777" w:rsidTr="00BE1435">
        <w:trPr>
          <w:trHeight w:val="300"/>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258DB" w14:textId="77777777" w:rsidR="00EB47B1" w:rsidRDefault="00EB47B1" w:rsidP="00BE1435">
            <w:r>
              <w:rPr>
                <w:rFonts w:cs="Arial"/>
                <w:b/>
                <w:bCs/>
              </w:rPr>
              <w:t>Tourism Advisory</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21D78488" w14:textId="77777777" w:rsidR="00EB47B1" w:rsidRDefault="00EB47B1" w:rsidP="00BE1435">
            <w:r>
              <w:rPr>
                <w:rFonts w:cs="Arial"/>
                <w:b/>
                <w:bCs/>
              </w:rPr>
              <w:t xml:space="preserve">2 </w:t>
            </w:r>
            <w:proofErr w:type="spellStart"/>
            <w:r>
              <w:rPr>
                <w:rFonts w:cs="Arial"/>
                <w:b/>
                <w:bCs/>
              </w:rPr>
              <w:t>councillors</w:t>
            </w:r>
            <w:proofErr w:type="spellEnd"/>
            <w:r>
              <w:rPr>
                <w:rFonts w:cs="Arial"/>
                <w:b/>
                <w:bCs/>
              </w:rPr>
              <w:t xml:space="preserve"> </w:t>
            </w:r>
          </w:p>
        </w:tc>
        <w:tc>
          <w:tcPr>
            <w:tcW w:w="3144" w:type="dxa"/>
            <w:tcBorders>
              <w:top w:val="nil"/>
              <w:left w:val="nil"/>
              <w:bottom w:val="single" w:sz="8" w:space="0" w:color="auto"/>
              <w:right w:val="single" w:sz="8" w:space="0" w:color="auto"/>
            </w:tcBorders>
          </w:tcPr>
          <w:p w14:paraId="3C6DD66A" w14:textId="22E6D49D" w:rsidR="00FE3272" w:rsidRDefault="00FE3272" w:rsidP="00132AA4">
            <w:pPr>
              <w:spacing w:after="0"/>
              <w:rPr>
                <w:rFonts w:cs="Arial"/>
                <w:b/>
                <w:bCs/>
              </w:rPr>
            </w:pPr>
            <w:r>
              <w:rPr>
                <w:rFonts w:cs="Arial"/>
                <w:b/>
                <w:bCs/>
              </w:rPr>
              <w:t>Carleton</w:t>
            </w:r>
            <w:r w:rsidR="00132AA4">
              <w:rPr>
                <w:rFonts w:cs="Arial"/>
                <w:b/>
                <w:bCs/>
              </w:rPr>
              <w:t xml:space="preserve"> (if election required for CAO Committee)</w:t>
            </w:r>
          </w:p>
          <w:p w14:paraId="64040702" w14:textId="5CC76943" w:rsidR="00FE3272" w:rsidRDefault="00FE3272" w:rsidP="000C475A">
            <w:pPr>
              <w:spacing w:after="0"/>
              <w:rPr>
                <w:rFonts w:cs="Arial"/>
                <w:b/>
                <w:bCs/>
              </w:rPr>
            </w:pPr>
            <w:r>
              <w:rPr>
                <w:rFonts w:cs="Arial"/>
                <w:b/>
                <w:bCs/>
                <w:color w:val="FF0000"/>
              </w:rPr>
              <w:t>1</w:t>
            </w:r>
            <w:r w:rsidRPr="00FE3272">
              <w:rPr>
                <w:rFonts w:cs="Arial"/>
                <w:b/>
                <w:bCs/>
                <w:color w:val="FF0000"/>
              </w:rPr>
              <w:t xml:space="preserve"> position available</w:t>
            </w:r>
          </w:p>
        </w:tc>
      </w:tr>
      <w:tr w:rsidR="00EB47B1" w14:paraId="453D9D92" w14:textId="77777777" w:rsidTr="00BE1435">
        <w:trPr>
          <w:trHeight w:val="12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C090E" w14:textId="77777777" w:rsidR="00EB47B1" w:rsidRDefault="00EB47B1" w:rsidP="00BE1435">
            <w:r>
              <w:rPr>
                <w:rFonts w:cs="Arial"/>
                <w:b/>
                <w:bCs/>
              </w:rPr>
              <w:t>Stewardship Grey Bruce (formerly Grey County Forest Stewardship Network)</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090422F3" w14:textId="77777777" w:rsidR="00EB47B1" w:rsidRDefault="00EB47B1" w:rsidP="00BE1435">
            <w:r>
              <w:rPr>
                <w:rFonts w:cs="Arial"/>
                <w:b/>
                <w:bCs/>
              </w:rPr>
              <w:t xml:space="preserve">1 </w:t>
            </w:r>
            <w:proofErr w:type="spellStart"/>
            <w:r>
              <w:rPr>
                <w:rFonts w:cs="Arial"/>
                <w:b/>
                <w:bCs/>
              </w:rPr>
              <w:t>councillor</w:t>
            </w:r>
            <w:proofErr w:type="spellEnd"/>
          </w:p>
        </w:tc>
        <w:tc>
          <w:tcPr>
            <w:tcW w:w="3144" w:type="dxa"/>
            <w:tcBorders>
              <w:top w:val="nil"/>
              <w:left w:val="nil"/>
              <w:bottom w:val="single" w:sz="8" w:space="0" w:color="auto"/>
              <w:right w:val="single" w:sz="8" w:space="0" w:color="auto"/>
            </w:tcBorders>
          </w:tcPr>
          <w:p w14:paraId="7EBD74FA" w14:textId="698379B6" w:rsidR="00EB47B1" w:rsidRDefault="00FE3272" w:rsidP="00BE1435">
            <w:pPr>
              <w:rPr>
                <w:rFonts w:cs="Arial"/>
                <w:b/>
                <w:bCs/>
              </w:rPr>
            </w:pPr>
            <w:r>
              <w:rPr>
                <w:rFonts w:cs="Arial"/>
                <w:b/>
                <w:bCs/>
              </w:rPr>
              <w:t>Gamble</w:t>
            </w:r>
          </w:p>
        </w:tc>
      </w:tr>
      <w:tr w:rsidR="00EB47B1" w14:paraId="49683358" w14:textId="77777777" w:rsidTr="00BE1435">
        <w:trPr>
          <w:trHeight w:val="600"/>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2C287" w14:textId="77777777" w:rsidR="00EB47B1" w:rsidRDefault="00EB47B1" w:rsidP="00BE1435">
            <w:r>
              <w:rPr>
                <w:rFonts w:cs="Arial"/>
                <w:b/>
                <w:bCs/>
              </w:rPr>
              <w:t>Grey County Federation of Agriculture</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1B7DA2BE" w14:textId="77777777" w:rsidR="00EB47B1" w:rsidRDefault="00EB47B1" w:rsidP="00BE1435">
            <w:r>
              <w:rPr>
                <w:rFonts w:cs="Arial"/>
                <w:b/>
                <w:bCs/>
              </w:rPr>
              <w:t xml:space="preserve">1 </w:t>
            </w:r>
            <w:proofErr w:type="spellStart"/>
            <w:r>
              <w:rPr>
                <w:rFonts w:cs="Arial"/>
                <w:b/>
                <w:bCs/>
              </w:rPr>
              <w:t>councillor</w:t>
            </w:r>
            <w:proofErr w:type="spellEnd"/>
            <w:r>
              <w:rPr>
                <w:rFonts w:cs="Arial"/>
                <w:b/>
                <w:bCs/>
              </w:rPr>
              <w:t xml:space="preserve"> plus alternate</w:t>
            </w:r>
          </w:p>
        </w:tc>
        <w:tc>
          <w:tcPr>
            <w:tcW w:w="3144" w:type="dxa"/>
            <w:tcBorders>
              <w:top w:val="nil"/>
              <w:left w:val="nil"/>
              <w:bottom w:val="single" w:sz="8" w:space="0" w:color="auto"/>
              <w:right w:val="single" w:sz="8" w:space="0" w:color="auto"/>
            </w:tcBorders>
          </w:tcPr>
          <w:p w14:paraId="4D96C583" w14:textId="77777777" w:rsidR="00FE3272" w:rsidRDefault="0047510A" w:rsidP="00132AA4">
            <w:pPr>
              <w:spacing w:after="0"/>
              <w:rPr>
                <w:rFonts w:cs="Arial"/>
                <w:b/>
                <w:bCs/>
              </w:rPr>
            </w:pPr>
            <w:r>
              <w:rPr>
                <w:rFonts w:cs="Arial"/>
                <w:b/>
                <w:bCs/>
              </w:rPr>
              <w:t>McQueen</w:t>
            </w:r>
            <w:r w:rsidR="00FE3272">
              <w:rPr>
                <w:rFonts w:cs="Arial"/>
                <w:b/>
                <w:bCs/>
              </w:rPr>
              <w:t xml:space="preserve"> </w:t>
            </w:r>
          </w:p>
          <w:p w14:paraId="3DD90381" w14:textId="7781E763" w:rsidR="00EB47B1" w:rsidRPr="00FE3272" w:rsidRDefault="00FE3272" w:rsidP="00BE1435">
            <w:pPr>
              <w:rPr>
                <w:rFonts w:cs="Arial"/>
                <w:b/>
                <w:bCs/>
                <w:color w:val="FF0000"/>
              </w:rPr>
            </w:pPr>
            <w:r>
              <w:rPr>
                <w:rFonts w:cs="Arial"/>
                <w:b/>
                <w:bCs/>
                <w:color w:val="FF0000"/>
              </w:rPr>
              <w:t>Alternate available</w:t>
            </w:r>
          </w:p>
        </w:tc>
      </w:tr>
      <w:tr w:rsidR="00EB47B1" w14:paraId="1B128553" w14:textId="77777777" w:rsidTr="00BE1435">
        <w:trPr>
          <w:trHeight w:val="457"/>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69BBF" w14:textId="77777777" w:rsidR="00EB47B1" w:rsidRDefault="00EB47B1" w:rsidP="00BE1435">
            <w:r>
              <w:rPr>
                <w:rFonts w:cs="Arial"/>
                <w:b/>
                <w:bCs/>
              </w:rPr>
              <w:t>Community Alcohol and Drug Strategy</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7011D3FD" w14:textId="77777777" w:rsidR="00EB47B1" w:rsidRDefault="00EB47B1" w:rsidP="00BE1435">
            <w:r>
              <w:rPr>
                <w:rFonts w:cs="Arial"/>
                <w:b/>
                <w:bCs/>
              </w:rPr>
              <w:t xml:space="preserve">2 </w:t>
            </w:r>
            <w:proofErr w:type="spellStart"/>
            <w:r>
              <w:rPr>
                <w:rFonts w:cs="Arial"/>
                <w:b/>
                <w:bCs/>
              </w:rPr>
              <w:t>councillors</w:t>
            </w:r>
            <w:proofErr w:type="spellEnd"/>
          </w:p>
        </w:tc>
        <w:tc>
          <w:tcPr>
            <w:tcW w:w="3144" w:type="dxa"/>
            <w:tcBorders>
              <w:top w:val="nil"/>
              <w:left w:val="nil"/>
              <w:bottom w:val="single" w:sz="8" w:space="0" w:color="auto"/>
              <w:right w:val="single" w:sz="8" w:space="0" w:color="auto"/>
            </w:tcBorders>
          </w:tcPr>
          <w:p w14:paraId="66BD6B7B" w14:textId="77777777" w:rsidR="00FE3272" w:rsidRDefault="00EB47B1" w:rsidP="00BE1435">
            <w:pPr>
              <w:rPr>
                <w:rFonts w:cs="Arial"/>
                <w:b/>
                <w:bCs/>
              </w:rPr>
            </w:pPr>
            <w:r>
              <w:rPr>
                <w:rFonts w:cs="Arial"/>
                <w:b/>
                <w:bCs/>
              </w:rPr>
              <w:t xml:space="preserve">Mackey </w:t>
            </w:r>
          </w:p>
          <w:p w14:paraId="76FE766F" w14:textId="090A2F18" w:rsidR="00EB47B1" w:rsidRDefault="00FE3272" w:rsidP="00BE1435">
            <w:pPr>
              <w:rPr>
                <w:rFonts w:cs="Arial"/>
                <w:b/>
                <w:bCs/>
              </w:rPr>
            </w:pPr>
            <w:r w:rsidRPr="00FE3272">
              <w:rPr>
                <w:rFonts w:cs="Arial"/>
                <w:b/>
                <w:bCs/>
                <w:color w:val="FF0000"/>
              </w:rPr>
              <w:t>1 position available</w:t>
            </w:r>
          </w:p>
        </w:tc>
      </w:tr>
      <w:tr w:rsidR="00EB47B1" w14:paraId="5407B5BB" w14:textId="77777777" w:rsidTr="00BE1435">
        <w:trPr>
          <w:trHeight w:val="6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18484" w14:textId="77777777" w:rsidR="00EB47B1" w:rsidRDefault="00EB47B1" w:rsidP="00BE1435">
            <w:r>
              <w:rPr>
                <w:rFonts w:cs="Arial"/>
                <w:b/>
                <w:bCs/>
              </w:rPr>
              <w:t>Accessibility Advisory Committee</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59957ABE" w14:textId="77777777" w:rsidR="00EB47B1" w:rsidRDefault="00EB47B1" w:rsidP="00BE1435">
            <w:r>
              <w:rPr>
                <w:rFonts w:cs="Arial"/>
                <w:b/>
                <w:bCs/>
              </w:rPr>
              <w:t xml:space="preserve">1 </w:t>
            </w:r>
            <w:proofErr w:type="spellStart"/>
            <w:r>
              <w:rPr>
                <w:rFonts w:cs="Arial"/>
                <w:b/>
                <w:bCs/>
              </w:rPr>
              <w:t>councillor</w:t>
            </w:r>
            <w:proofErr w:type="spellEnd"/>
          </w:p>
        </w:tc>
        <w:tc>
          <w:tcPr>
            <w:tcW w:w="3144" w:type="dxa"/>
            <w:tcBorders>
              <w:top w:val="nil"/>
              <w:left w:val="nil"/>
              <w:bottom w:val="single" w:sz="8" w:space="0" w:color="auto"/>
              <w:right w:val="single" w:sz="8" w:space="0" w:color="auto"/>
            </w:tcBorders>
          </w:tcPr>
          <w:p w14:paraId="5692AD1B" w14:textId="77777777" w:rsidR="00EB47B1" w:rsidRDefault="00EB47B1" w:rsidP="00BE1435">
            <w:pPr>
              <w:rPr>
                <w:rFonts w:cs="Arial"/>
                <w:b/>
                <w:bCs/>
              </w:rPr>
            </w:pPr>
            <w:r>
              <w:rPr>
                <w:rFonts w:cs="Arial"/>
                <w:b/>
                <w:bCs/>
              </w:rPr>
              <w:t xml:space="preserve">Burley </w:t>
            </w:r>
          </w:p>
        </w:tc>
      </w:tr>
      <w:tr w:rsidR="006D4627" w14:paraId="7424EC6B" w14:textId="77777777" w:rsidTr="00BE1435">
        <w:trPr>
          <w:trHeight w:val="6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D8E38" w14:textId="489ADB04" w:rsidR="006D4627" w:rsidRDefault="006D4627" w:rsidP="00BE1435">
            <w:pPr>
              <w:rPr>
                <w:rFonts w:cs="Arial"/>
                <w:b/>
                <w:bCs/>
              </w:rPr>
            </w:pPr>
            <w:r>
              <w:rPr>
                <w:rFonts w:cs="Arial"/>
                <w:b/>
                <w:bCs/>
              </w:rPr>
              <w:t>Board of Health</w:t>
            </w:r>
          </w:p>
        </w:tc>
        <w:tc>
          <w:tcPr>
            <w:tcW w:w="3148" w:type="dxa"/>
            <w:tcBorders>
              <w:top w:val="nil"/>
              <w:left w:val="nil"/>
              <w:bottom w:val="single" w:sz="8" w:space="0" w:color="auto"/>
              <w:right w:val="single" w:sz="8" w:space="0" w:color="auto"/>
            </w:tcBorders>
            <w:tcMar>
              <w:top w:w="0" w:type="dxa"/>
              <w:left w:w="108" w:type="dxa"/>
              <w:bottom w:w="0" w:type="dxa"/>
              <w:right w:w="108" w:type="dxa"/>
            </w:tcMar>
          </w:tcPr>
          <w:p w14:paraId="08A5A941" w14:textId="54273EAD" w:rsidR="006D4627" w:rsidRDefault="006D4627" w:rsidP="00BE1435">
            <w:pPr>
              <w:rPr>
                <w:rFonts w:cs="Arial"/>
                <w:b/>
                <w:bCs/>
              </w:rPr>
            </w:pPr>
            <w:r>
              <w:rPr>
                <w:rFonts w:cs="Arial"/>
                <w:b/>
                <w:bCs/>
              </w:rPr>
              <w:t xml:space="preserve">3 </w:t>
            </w:r>
            <w:proofErr w:type="spellStart"/>
            <w:r>
              <w:rPr>
                <w:rFonts w:cs="Arial"/>
                <w:b/>
                <w:bCs/>
              </w:rPr>
              <w:t>councillors</w:t>
            </w:r>
            <w:proofErr w:type="spellEnd"/>
            <w:r>
              <w:rPr>
                <w:rFonts w:cs="Arial"/>
                <w:b/>
                <w:bCs/>
              </w:rPr>
              <w:t xml:space="preserve"> plus Warden</w:t>
            </w:r>
          </w:p>
        </w:tc>
        <w:tc>
          <w:tcPr>
            <w:tcW w:w="3144" w:type="dxa"/>
            <w:tcBorders>
              <w:top w:val="nil"/>
              <w:left w:val="nil"/>
              <w:bottom w:val="single" w:sz="8" w:space="0" w:color="auto"/>
              <w:right w:val="single" w:sz="8" w:space="0" w:color="auto"/>
            </w:tcBorders>
          </w:tcPr>
          <w:p w14:paraId="565ACADA" w14:textId="6D7E9409" w:rsidR="006D4627" w:rsidRDefault="006D4627" w:rsidP="00BE1435">
            <w:pPr>
              <w:rPr>
                <w:rFonts w:cs="Arial"/>
                <w:b/>
                <w:bCs/>
              </w:rPr>
            </w:pPr>
            <w:r>
              <w:rPr>
                <w:rFonts w:cs="Arial"/>
                <w:b/>
                <w:bCs/>
              </w:rPr>
              <w:t>Milne, Paterson, O’Leary, Hicks</w:t>
            </w:r>
          </w:p>
        </w:tc>
      </w:tr>
      <w:tr w:rsidR="00EB47B1" w14:paraId="7B57A14F" w14:textId="77777777" w:rsidTr="00BE1435">
        <w:trPr>
          <w:trHeight w:val="6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9CC7" w14:textId="77777777" w:rsidR="00EB47B1" w:rsidRDefault="00EB47B1" w:rsidP="0047510A">
            <w:pPr>
              <w:spacing w:after="0"/>
              <w:rPr>
                <w:rFonts w:cs="Arial"/>
                <w:b/>
                <w:bCs/>
              </w:rPr>
            </w:pPr>
            <w:r>
              <w:rPr>
                <w:rFonts w:cs="Arial"/>
                <w:b/>
                <w:bCs/>
              </w:rPr>
              <w:t>Long Term Care Committee of Management</w:t>
            </w:r>
          </w:p>
          <w:p w14:paraId="46D3A75E" w14:textId="33F6420A" w:rsidR="0047510A" w:rsidRPr="0047510A" w:rsidRDefault="0047510A" w:rsidP="00BE1435">
            <w:pPr>
              <w:rPr>
                <w:color w:val="FF0000"/>
              </w:rPr>
            </w:pP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40C89239" w14:textId="77777777" w:rsidR="00EB47B1" w:rsidRDefault="00EB47B1" w:rsidP="00BE1435">
            <w:r>
              <w:rPr>
                <w:rFonts w:cs="Arial"/>
                <w:b/>
                <w:bCs/>
              </w:rPr>
              <w:t xml:space="preserve">6 </w:t>
            </w:r>
            <w:proofErr w:type="spellStart"/>
            <w:r>
              <w:rPr>
                <w:rFonts w:cs="Arial"/>
                <w:b/>
                <w:bCs/>
              </w:rPr>
              <w:t>councillors</w:t>
            </w:r>
            <w:proofErr w:type="spellEnd"/>
            <w:r>
              <w:rPr>
                <w:rFonts w:cs="Arial"/>
                <w:b/>
                <w:bCs/>
              </w:rPr>
              <w:t xml:space="preserve"> plus Warden</w:t>
            </w:r>
          </w:p>
        </w:tc>
        <w:tc>
          <w:tcPr>
            <w:tcW w:w="3144" w:type="dxa"/>
            <w:tcBorders>
              <w:top w:val="nil"/>
              <w:left w:val="nil"/>
              <w:bottom w:val="single" w:sz="8" w:space="0" w:color="auto"/>
              <w:right w:val="single" w:sz="8" w:space="0" w:color="auto"/>
            </w:tcBorders>
          </w:tcPr>
          <w:p w14:paraId="699E5CB6" w14:textId="2C020127" w:rsidR="00EB47B1" w:rsidRDefault="00EB47B1" w:rsidP="00BE1435">
            <w:pPr>
              <w:rPr>
                <w:rFonts w:cs="Arial"/>
                <w:b/>
                <w:bCs/>
              </w:rPr>
            </w:pPr>
            <w:r>
              <w:rPr>
                <w:rFonts w:cs="Arial"/>
                <w:b/>
                <w:bCs/>
              </w:rPr>
              <w:t>Burley, Robinson, Mackey O’Leary, Clumpus Woodbury</w:t>
            </w:r>
          </w:p>
        </w:tc>
      </w:tr>
      <w:tr w:rsidR="006D4627" w14:paraId="4CA16900" w14:textId="77777777" w:rsidTr="00BE1435">
        <w:trPr>
          <w:trHeight w:val="6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CE37B" w14:textId="058C4E6C" w:rsidR="006D4627" w:rsidRDefault="006D4627" w:rsidP="0047510A">
            <w:pPr>
              <w:spacing w:after="0"/>
              <w:rPr>
                <w:rFonts w:cs="Arial"/>
                <w:b/>
                <w:bCs/>
              </w:rPr>
            </w:pPr>
            <w:r>
              <w:rPr>
                <w:rFonts w:cs="Arial"/>
                <w:b/>
                <w:bCs/>
              </w:rPr>
              <w:t>Agricultural Advisory Committee</w:t>
            </w:r>
          </w:p>
        </w:tc>
        <w:tc>
          <w:tcPr>
            <w:tcW w:w="3148" w:type="dxa"/>
            <w:tcBorders>
              <w:top w:val="nil"/>
              <w:left w:val="nil"/>
              <w:bottom w:val="single" w:sz="8" w:space="0" w:color="auto"/>
              <w:right w:val="single" w:sz="8" w:space="0" w:color="auto"/>
            </w:tcBorders>
            <w:tcMar>
              <w:top w:w="0" w:type="dxa"/>
              <w:left w:w="108" w:type="dxa"/>
              <w:bottom w:w="0" w:type="dxa"/>
              <w:right w:w="108" w:type="dxa"/>
            </w:tcMar>
          </w:tcPr>
          <w:p w14:paraId="678FCEA8" w14:textId="628CDAC6" w:rsidR="006D4627" w:rsidRDefault="006D4627" w:rsidP="00BE1435">
            <w:pPr>
              <w:rPr>
                <w:rFonts w:cs="Arial"/>
                <w:b/>
                <w:bCs/>
              </w:rPr>
            </w:pPr>
            <w:r>
              <w:rPr>
                <w:rFonts w:cs="Arial"/>
                <w:b/>
                <w:bCs/>
              </w:rPr>
              <w:t xml:space="preserve">4 </w:t>
            </w:r>
            <w:proofErr w:type="spellStart"/>
            <w:r>
              <w:rPr>
                <w:rFonts w:cs="Arial"/>
                <w:b/>
                <w:bCs/>
              </w:rPr>
              <w:t>councillors</w:t>
            </w:r>
            <w:proofErr w:type="spellEnd"/>
            <w:r>
              <w:rPr>
                <w:rFonts w:cs="Arial"/>
                <w:b/>
                <w:bCs/>
              </w:rPr>
              <w:t xml:space="preserve"> plus Warden</w:t>
            </w:r>
          </w:p>
        </w:tc>
        <w:tc>
          <w:tcPr>
            <w:tcW w:w="3144" w:type="dxa"/>
            <w:tcBorders>
              <w:top w:val="nil"/>
              <w:left w:val="nil"/>
              <w:bottom w:val="single" w:sz="8" w:space="0" w:color="auto"/>
              <w:right w:val="single" w:sz="8" w:space="0" w:color="auto"/>
            </w:tcBorders>
          </w:tcPr>
          <w:p w14:paraId="75360B33" w14:textId="77777777" w:rsidR="006D4627" w:rsidRDefault="006D4627" w:rsidP="00BE1435">
            <w:pPr>
              <w:rPr>
                <w:rFonts w:cs="Arial"/>
                <w:b/>
                <w:bCs/>
              </w:rPr>
            </w:pPr>
            <w:r>
              <w:rPr>
                <w:rFonts w:cs="Arial"/>
                <w:b/>
                <w:bCs/>
              </w:rPr>
              <w:t>Keaveney, Robinson, McQueen</w:t>
            </w:r>
          </w:p>
          <w:p w14:paraId="12F7EF3B" w14:textId="3C4AC29F" w:rsidR="00FE3272" w:rsidRPr="00FE3272" w:rsidRDefault="00FE3272" w:rsidP="00BE1435">
            <w:pPr>
              <w:rPr>
                <w:rFonts w:cs="Arial"/>
                <w:b/>
                <w:bCs/>
                <w:color w:val="FF0000"/>
              </w:rPr>
            </w:pPr>
            <w:r>
              <w:rPr>
                <w:rFonts w:cs="Arial"/>
                <w:b/>
                <w:bCs/>
                <w:color w:val="FF0000"/>
              </w:rPr>
              <w:t>1 position available</w:t>
            </w:r>
          </w:p>
        </w:tc>
      </w:tr>
      <w:tr w:rsidR="00EB47B1" w14:paraId="4C9632A4" w14:textId="77777777" w:rsidTr="00BE1435">
        <w:trPr>
          <w:trHeight w:val="616"/>
        </w:trPr>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442D1" w14:textId="286D87F4" w:rsidR="00EB47B1" w:rsidRPr="00C978D5" w:rsidRDefault="00EB47B1" w:rsidP="00BE1435">
            <w:pPr>
              <w:rPr>
                <w:color w:val="FF0000"/>
              </w:rPr>
            </w:pPr>
            <w:r>
              <w:rPr>
                <w:rFonts w:cs="Arial"/>
                <w:b/>
                <w:bCs/>
              </w:rPr>
              <w:t xml:space="preserve">CAO Objectives and Evaluation Committee </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49143427" w14:textId="77777777" w:rsidR="00EB47B1" w:rsidRDefault="00EB47B1" w:rsidP="00BE1435">
            <w:r>
              <w:rPr>
                <w:rFonts w:cs="Arial"/>
                <w:b/>
                <w:bCs/>
              </w:rPr>
              <w:t xml:space="preserve">4 </w:t>
            </w:r>
            <w:proofErr w:type="spellStart"/>
            <w:r>
              <w:rPr>
                <w:rFonts w:cs="Arial"/>
                <w:b/>
                <w:bCs/>
              </w:rPr>
              <w:t>councillors</w:t>
            </w:r>
            <w:proofErr w:type="spellEnd"/>
            <w:r>
              <w:rPr>
                <w:rFonts w:cs="Arial"/>
                <w:b/>
                <w:bCs/>
              </w:rPr>
              <w:t xml:space="preserve"> plus Warden</w:t>
            </w:r>
          </w:p>
        </w:tc>
        <w:tc>
          <w:tcPr>
            <w:tcW w:w="3144" w:type="dxa"/>
            <w:tcBorders>
              <w:top w:val="nil"/>
              <w:left w:val="nil"/>
              <w:bottom w:val="single" w:sz="8" w:space="0" w:color="auto"/>
              <w:right w:val="single" w:sz="8" w:space="0" w:color="auto"/>
            </w:tcBorders>
          </w:tcPr>
          <w:p w14:paraId="2721891F" w14:textId="7B61F52E" w:rsidR="00EB47B1" w:rsidRDefault="00EB47B1" w:rsidP="00BE1435">
            <w:pPr>
              <w:rPr>
                <w:rFonts w:cs="Arial"/>
                <w:b/>
                <w:bCs/>
              </w:rPr>
            </w:pPr>
            <w:r>
              <w:rPr>
                <w:rFonts w:cs="Arial"/>
                <w:b/>
                <w:bCs/>
              </w:rPr>
              <w:t>Milne, Hutchinson, Boddy</w:t>
            </w:r>
            <w:r w:rsidR="006D4627">
              <w:rPr>
                <w:rFonts w:cs="Arial"/>
                <w:b/>
                <w:bCs/>
              </w:rPr>
              <w:t>, Hicks</w:t>
            </w:r>
            <w:r w:rsidR="00D25152">
              <w:rPr>
                <w:rFonts w:cs="Arial"/>
                <w:b/>
                <w:bCs/>
              </w:rPr>
              <w:t xml:space="preserve">, </w:t>
            </w:r>
            <w:r w:rsidR="000C475A">
              <w:rPr>
                <w:rFonts w:cs="Arial"/>
                <w:b/>
                <w:bCs/>
              </w:rPr>
              <w:t xml:space="preserve">TBM Councillor, </w:t>
            </w:r>
            <w:r w:rsidR="00D25152">
              <w:rPr>
                <w:rFonts w:cs="Arial"/>
                <w:b/>
                <w:bCs/>
              </w:rPr>
              <w:t>Carleton (will step back if election is required)</w:t>
            </w:r>
          </w:p>
        </w:tc>
      </w:tr>
    </w:tbl>
    <w:p w14:paraId="42F5373C" w14:textId="77777777" w:rsidR="00893CEB" w:rsidRDefault="00893CEB" w:rsidP="00893CEB">
      <w:pPr>
        <w:pStyle w:val="Heading2"/>
      </w:pPr>
      <w:r>
        <w:lastRenderedPageBreak/>
        <w:t>Legal and Legislated Requirements</w:t>
      </w:r>
    </w:p>
    <w:p w14:paraId="4DEC0063" w14:textId="77777777" w:rsidR="001905D0" w:rsidRDefault="001905D0" w:rsidP="001905D0">
      <w:r>
        <w:t xml:space="preserve">Grey County is required under the Long-Term Care Act to have a Committee of Management and under the Accessibility for Ontarians with Disabilities Act to have an Accessibility Advisory Committee. </w:t>
      </w:r>
    </w:p>
    <w:p w14:paraId="4DDCF7F4" w14:textId="448C1AC6" w:rsidR="00893CEB" w:rsidRDefault="00893CEB" w:rsidP="00893CEB">
      <w:pPr>
        <w:pStyle w:val="Heading2"/>
      </w:pPr>
      <w:r>
        <w:t>Financial and Resource Implications</w:t>
      </w:r>
    </w:p>
    <w:p w14:paraId="31212CAD" w14:textId="07624001" w:rsidR="00893CEB" w:rsidRPr="000F4322" w:rsidRDefault="001905D0" w:rsidP="00893CEB">
      <w:r>
        <w:t>Per diems and mileage are paid to council members attending agency, board</w:t>
      </w:r>
      <w:r w:rsidR="00A14A81">
        <w:t>,</w:t>
      </w:r>
      <w:r>
        <w:t xml:space="preserve"> or committee meetings.  These costs are contained in the annual Council Operating budget. </w:t>
      </w:r>
    </w:p>
    <w:p w14:paraId="60BBA4F0" w14:textId="77777777" w:rsidR="00893CEB" w:rsidRDefault="00893CEB" w:rsidP="00893CEB">
      <w:pPr>
        <w:pStyle w:val="Heading1"/>
      </w:pPr>
      <w:r>
        <w:t>Relevant Consultation</w:t>
      </w:r>
    </w:p>
    <w:p w14:paraId="19B37EF4" w14:textId="7065060D" w:rsidR="00893CEB" w:rsidRDefault="00BF2FF9" w:rsidP="00893CEB">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Internal </w:t>
      </w:r>
      <w:r w:rsidR="00FD62EE">
        <w:t xml:space="preserve">County Council </w:t>
      </w:r>
    </w:p>
    <w:p w14:paraId="161A2279" w14:textId="4D3D4571" w:rsidR="00893CEB" w:rsidRDefault="00BF2FF9"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External </w:t>
      </w:r>
      <w:r w:rsidR="001905D0">
        <w:t>None</w:t>
      </w:r>
    </w:p>
    <w:p w14:paraId="03A9288B" w14:textId="77777777" w:rsidR="00893CEB" w:rsidRDefault="00893CEB" w:rsidP="00893CEB">
      <w:pPr>
        <w:pStyle w:val="Heading3"/>
      </w:pPr>
      <w:r>
        <w:t>Appendices and Attachments</w:t>
      </w:r>
    </w:p>
    <w:p w14:paraId="2BC9B21B" w14:textId="3BA380F1" w:rsidR="00100AA2" w:rsidRDefault="00100AA2"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906B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1AEF2B97" w:rsidR="00C5196E" w:rsidRDefault="00913AD1" w:rsidP="00906BC5">
    <w:pPr>
      <w:pStyle w:val="Footer"/>
      <w:jc w:val="center"/>
    </w:pPr>
    <w:r>
      <w:rPr>
        <w:sz w:val="22"/>
        <w:szCs w:val="22"/>
      </w:rPr>
      <w:t>CCR-CW-01-2</w:t>
    </w:r>
    <w:r w:rsidR="006D4627">
      <w:rPr>
        <w:sz w:val="22"/>
        <w:szCs w:val="22"/>
      </w:rPr>
      <w:t>2</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Pr>
        <w:noProof/>
      </w:rPr>
      <w:t xml:space="preserve">December </w:t>
    </w:r>
    <w:r w:rsidR="006D4627">
      <w:rPr>
        <w:noProof/>
      </w:rPr>
      <w:t>9</w:t>
    </w:r>
    <w:r>
      <w:rPr>
        <w:noProof/>
      </w:rPr>
      <w:t>, 202</w:t>
    </w:r>
    <w:r w:rsidR="006D4627">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504573">
    <w:abstractNumId w:val="8"/>
  </w:num>
  <w:num w:numId="2" w16cid:durableId="1247501356">
    <w:abstractNumId w:val="0"/>
  </w:num>
  <w:num w:numId="3" w16cid:durableId="1334145793">
    <w:abstractNumId w:val="11"/>
  </w:num>
  <w:num w:numId="4" w16cid:durableId="893546738">
    <w:abstractNumId w:val="14"/>
  </w:num>
  <w:num w:numId="5" w16cid:durableId="1604846673">
    <w:abstractNumId w:val="2"/>
  </w:num>
  <w:num w:numId="6" w16cid:durableId="1606690511">
    <w:abstractNumId w:val="15"/>
  </w:num>
  <w:num w:numId="7" w16cid:durableId="1412315329">
    <w:abstractNumId w:val="7"/>
  </w:num>
  <w:num w:numId="8" w16cid:durableId="1092779814">
    <w:abstractNumId w:val="10"/>
  </w:num>
  <w:num w:numId="9" w16cid:durableId="426971016">
    <w:abstractNumId w:val="21"/>
  </w:num>
  <w:num w:numId="10" w16cid:durableId="2128425080">
    <w:abstractNumId w:val="22"/>
  </w:num>
  <w:num w:numId="11" w16cid:durableId="1015692420">
    <w:abstractNumId w:val="1"/>
  </w:num>
  <w:num w:numId="12" w16cid:durableId="182400411">
    <w:abstractNumId w:val="19"/>
  </w:num>
  <w:num w:numId="13" w16cid:durableId="1207529382">
    <w:abstractNumId w:val="6"/>
  </w:num>
  <w:num w:numId="14" w16cid:durableId="883446466">
    <w:abstractNumId w:val="5"/>
  </w:num>
  <w:num w:numId="15" w16cid:durableId="1731079770">
    <w:abstractNumId w:val="3"/>
  </w:num>
  <w:num w:numId="16" w16cid:durableId="560554366">
    <w:abstractNumId w:val="20"/>
  </w:num>
  <w:num w:numId="17" w16cid:durableId="1155144741">
    <w:abstractNumId w:val="18"/>
  </w:num>
  <w:num w:numId="18" w16cid:durableId="1874227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8970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631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2702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4279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60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703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426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4525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8024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5711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2734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7302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2562777">
    <w:abstractNumId w:val="18"/>
  </w:num>
  <w:num w:numId="32" w16cid:durableId="1980650709">
    <w:abstractNumId w:val="18"/>
  </w:num>
  <w:num w:numId="33" w16cid:durableId="482164079">
    <w:abstractNumId w:val="16"/>
  </w:num>
  <w:num w:numId="34" w16cid:durableId="169608560">
    <w:abstractNumId w:val="4"/>
  </w:num>
  <w:num w:numId="35" w16cid:durableId="1996570561">
    <w:abstractNumId w:val="17"/>
  </w:num>
  <w:num w:numId="36" w16cid:durableId="2010018219">
    <w:abstractNumId w:val="13"/>
  </w:num>
  <w:num w:numId="37" w16cid:durableId="789133128">
    <w:abstractNumId w:val="2"/>
    <w:lvlOverride w:ilvl="0">
      <w:startOverride w:val="1"/>
    </w:lvlOverride>
  </w:num>
  <w:num w:numId="38" w16cid:durableId="1303274075">
    <w:abstractNumId w:val="2"/>
    <w:lvlOverride w:ilvl="0">
      <w:startOverride w:val="1"/>
    </w:lvlOverride>
  </w:num>
  <w:num w:numId="39" w16cid:durableId="2091388404">
    <w:abstractNumId w:val="2"/>
    <w:lvlOverride w:ilvl="0">
      <w:startOverride w:val="1"/>
    </w:lvlOverride>
  </w:num>
  <w:num w:numId="40" w16cid:durableId="1918400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395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3509657">
    <w:abstractNumId w:val="23"/>
  </w:num>
  <w:num w:numId="43" w16cid:durableId="851187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3494825">
    <w:abstractNumId w:val="9"/>
  </w:num>
  <w:num w:numId="45" w16cid:durableId="7019060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394D"/>
    <w:rsid w:val="00054A60"/>
    <w:rsid w:val="0005699E"/>
    <w:rsid w:val="00072693"/>
    <w:rsid w:val="0007662D"/>
    <w:rsid w:val="0008166C"/>
    <w:rsid w:val="00083A40"/>
    <w:rsid w:val="00094BA8"/>
    <w:rsid w:val="000A5195"/>
    <w:rsid w:val="000A665D"/>
    <w:rsid w:val="000B2FC6"/>
    <w:rsid w:val="000B7C11"/>
    <w:rsid w:val="000C475A"/>
    <w:rsid w:val="000D1391"/>
    <w:rsid w:val="000D3D6B"/>
    <w:rsid w:val="000D707D"/>
    <w:rsid w:val="000E2028"/>
    <w:rsid w:val="000F339B"/>
    <w:rsid w:val="000F7DE2"/>
    <w:rsid w:val="00100AA2"/>
    <w:rsid w:val="001034BB"/>
    <w:rsid w:val="001163EF"/>
    <w:rsid w:val="00120301"/>
    <w:rsid w:val="00127940"/>
    <w:rsid w:val="00132AA4"/>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05D0"/>
    <w:rsid w:val="00194DFD"/>
    <w:rsid w:val="00197815"/>
    <w:rsid w:val="001A0805"/>
    <w:rsid w:val="001A0A21"/>
    <w:rsid w:val="001A13FB"/>
    <w:rsid w:val="001A31CE"/>
    <w:rsid w:val="001B2CC3"/>
    <w:rsid w:val="001B7EB2"/>
    <w:rsid w:val="001C2C22"/>
    <w:rsid w:val="001C3431"/>
    <w:rsid w:val="001C670D"/>
    <w:rsid w:val="001D240E"/>
    <w:rsid w:val="001D724D"/>
    <w:rsid w:val="001E0803"/>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2400"/>
    <w:rsid w:val="0047510A"/>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51165"/>
    <w:rsid w:val="0055306A"/>
    <w:rsid w:val="00561CEA"/>
    <w:rsid w:val="00563416"/>
    <w:rsid w:val="0056751C"/>
    <w:rsid w:val="005704F6"/>
    <w:rsid w:val="00584463"/>
    <w:rsid w:val="00587456"/>
    <w:rsid w:val="005A165F"/>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889"/>
    <w:rsid w:val="00661740"/>
    <w:rsid w:val="00661E15"/>
    <w:rsid w:val="00663294"/>
    <w:rsid w:val="00664049"/>
    <w:rsid w:val="00675649"/>
    <w:rsid w:val="006767DE"/>
    <w:rsid w:val="00684518"/>
    <w:rsid w:val="0069297D"/>
    <w:rsid w:val="00693326"/>
    <w:rsid w:val="0069591B"/>
    <w:rsid w:val="006A2DA1"/>
    <w:rsid w:val="006C2080"/>
    <w:rsid w:val="006C20EE"/>
    <w:rsid w:val="006C44EF"/>
    <w:rsid w:val="006D2546"/>
    <w:rsid w:val="006D36F2"/>
    <w:rsid w:val="006D4627"/>
    <w:rsid w:val="006F43C5"/>
    <w:rsid w:val="007039EF"/>
    <w:rsid w:val="007071D8"/>
    <w:rsid w:val="0071218E"/>
    <w:rsid w:val="00712BB5"/>
    <w:rsid w:val="00723019"/>
    <w:rsid w:val="007235EF"/>
    <w:rsid w:val="00725DA5"/>
    <w:rsid w:val="00727163"/>
    <w:rsid w:val="00731928"/>
    <w:rsid w:val="0075757C"/>
    <w:rsid w:val="00761ABC"/>
    <w:rsid w:val="0077204D"/>
    <w:rsid w:val="00772FDB"/>
    <w:rsid w:val="007827FC"/>
    <w:rsid w:val="007843DE"/>
    <w:rsid w:val="00786B1C"/>
    <w:rsid w:val="007873DE"/>
    <w:rsid w:val="00787558"/>
    <w:rsid w:val="007927D8"/>
    <w:rsid w:val="0079416B"/>
    <w:rsid w:val="007A062A"/>
    <w:rsid w:val="007A5CF3"/>
    <w:rsid w:val="007A7F54"/>
    <w:rsid w:val="007B0204"/>
    <w:rsid w:val="007B2599"/>
    <w:rsid w:val="007B32E3"/>
    <w:rsid w:val="007B77EA"/>
    <w:rsid w:val="007C1ED8"/>
    <w:rsid w:val="007D124C"/>
    <w:rsid w:val="007D34EB"/>
    <w:rsid w:val="007E1603"/>
    <w:rsid w:val="007E6B4D"/>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3268"/>
    <w:rsid w:val="00913AD1"/>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E614F"/>
    <w:rsid w:val="009F412C"/>
    <w:rsid w:val="009F5AA1"/>
    <w:rsid w:val="009F6E13"/>
    <w:rsid w:val="009F754F"/>
    <w:rsid w:val="00A04FA6"/>
    <w:rsid w:val="00A0537E"/>
    <w:rsid w:val="00A0631E"/>
    <w:rsid w:val="00A07DE8"/>
    <w:rsid w:val="00A14A81"/>
    <w:rsid w:val="00A17CDD"/>
    <w:rsid w:val="00A22A0D"/>
    <w:rsid w:val="00A24F49"/>
    <w:rsid w:val="00A3226F"/>
    <w:rsid w:val="00A34146"/>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5D01"/>
    <w:rsid w:val="00B841FD"/>
    <w:rsid w:val="00B90075"/>
    <w:rsid w:val="00BB7E5B"/>
    <w:rsid w:val="00BC2D63"/>
    <w:rsid w:val="00BC332C"/>
    <w:rsid w:val="00BD02DA"/>
    <w:rsid w:val="00BD0806"/>
    <w:rsid w:val="00BF250D"/>
    <w:rsid w:val="00BF275F"/>
    <w:rsid w:val="00BF2FF9"/>
    <w:rsid w:val="00BF63CB"/>
    <w:rsid w:val="00C0573E"/>
    <w:rsid w:val="00C0594F"/>
    <w:rsid w:val="00C07105"/>
    <w:rsid w:val="00C14228"/>
    <w:rsid w:val="00C16659"/>
    <w:rsid w:val="00C2491E"/>
    <w:rsid w:val="00C250BC"/>
    <w:rsid w:val="00C360F3"/>
    <w:rsid w:val="00C462C0"/>
    <w:rsid w:val="00C5196E"/>
    <w:rsid w:val="00C53E03"/>
    <w:rsid w:val="00C620D6"/>
    <w:rsid w:val="00C7141B"/>
    <w:rsid w:val="00C801E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F362E"/>
    <w:rsid w:val="00D020B4"/>
    <w:rsid w:val="00D02E7B"/>
    <w:rsid w:val="00D130A5"/>
    <w:rsid w:val="00D1365A"/>
    <w:rsid w:val="00D176C9"/>
    <w:rsid w:val="00D21C2F"/>
    <w:rsid w:val="00D22D67"/>
    <w:rsid w:val="00D231D3"/>
    <w:rsid w:val="00D2348C"/>
    <w:rsid w:val="00D25152"/>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DF3"/>
    <w:rsid w:val="00DA7F20"/>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B47B1"/>
    <w:rsid w:val="00ED2DD1"/>
    <w:rsid w:val="00ED7D2D"/>
    <w:rsid w:val="00EE41E1"/>
    <w:rsid w:val="00EF7098"/>
    <w:rsid w:val="00F02136"/>
    <w:rsid w:val="00F04F02"/>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2EE"/>
    <w:rsid w:val="00FD6E75"/>
    <w:rsid w:val="00FD71B1"/>
    <w:rsid w:val="00FE1649"/>
    <w:rsid w:val="00FE3272"/>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F9"/>
    <w:rPr>
      <w:rFonts w:ascii="Arial" w:hAnsi="Arial"/>
      <w:sz w:val="24"/>
      <w:szCs w:val="24"/>
    </w:rPr>
  </w:style>
  <w:style w:type="paragraph" w:styleId="Heading1">
    <w:name w:val="heading 1"/>
    <w:basedOn w:val="Normal"/>
    <w:next w:val="Normal"/>
    <w:link w:val="Heading1Char"/>
    <w:uiPriority w:val="9"/>
    <w:qFormat/>
    <w:rsid w:val="00BF2FF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F2FF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F2FF9"/>
    <w:pPr>
      <w:outlineLvl w:val="2"/>
    </w:pPr>
    <w:rPr>
      <w:rFonts w:cs="Arial"/>
      <w:i w:val="0"/>
    </w:rPr>
  </w:style>
  <w:style w:type="paragraph" w:styleId="Heading4">
    <w:name w:val="heading 4"/>
    <w:basedOn w:val="Normal"/>
    <w:next w:val="Normal"/>
    <w:link w:val="Heading4Char"/>
    <w:uiPriority w:val="9"/>
    <w:unhideWhenUsed/>
    <w:qFormat/>
    <w:rsid w:val="00BF2FF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F2FF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F2FF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F2FF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F2FF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F2FF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F2F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FF9"/>
  </w:style>
  <w:style w:type="character" w:customStyle="1" w:styleId="Heading1Char">
    <w:name w:val="Heading 1 Char"/>
    <w:basedOn w:val="DefaultParagraphFont"/>
    <w:link w:val="Heading1"/>
    <w:uiPriority w:val="9"/>
    <w:rsid w:val="00BF2FF9"/>
    <w:rPr>
      <w:rFonts w:ascii="Arial" w:eastAsiaTheme="majorEastAsia" w:hAnsi="Arial" w:cstheme="majorBidi"/>
      <w:sz w:val="40"/>
    </w:rPr>
  </w:style>
  <w:style w:type="character" w:customStyle="1" w:styleId="Heading2Char">
    <w:name w:val="Heading 2 Char"/>
    <w:basedOn w:val="DefaultParagraphFont"/>
    <w:link w:val="Heading2"/>
    <w:uiPriority w:val="9"/>
    <w:rsid w:val="00BF2FF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F2FF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F2FF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F2FF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F2FF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F2FF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F2FF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F2FF9"/>
    <w:rPr>
      <w:rFonts w:ascii="Arial" w:eastAsiaTheme="majorEastAsia" w:hAnsi="Arial" w:cstheme="majorBidi"/>
      <w:i/>
      <w:iCs/>
      <w:sz w:val="24"/>
    </w:rPr>
  </w:style>
  <w:style w:type="paragraph" w:styleId="Title">
    <w:name w:val="Title"/>
    <w:basedOn w:val="Normal"/>
    <w:next w:val="Normal"/>
    <w:link w:val="TitleChar"/>
    <w:uiPriority w:val="9"/>
    <w:qFormat/>
    <w:rsid w:val="00BF2FF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F2FF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F2FF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F2FF9"/>
    <w:rPr>
      <w:rFonts w:ascii="Arial" w:eastAsiaTheme="majorEastAsia" w:hAnsi="Arial" w:cstheme="majorBidi"/>
      <w:i/>
      <w:iCs/>
      <w:spacing w:val="15"/>
      <w:sz w:val="24"/>
      <w:szCs w:val="24"/>
    </w:rPr>
  </w:style>
  <w:style w:type="character" w:styleId="Strong">
    <w:name w:val="Strong"/>
    <w:basedOn w:val="DefaultParagraphFont"/>
    <w:uiPriority w:val="22"/>
    <w:qFormat/>
    <w:rsid w:val="00BF2FF9"/>
    <w:rPr>
      <w:rFonts w:ascii="Arial" w:hAnsi="Arial"/>
      <w:b/>
      <w:bCs/>
    </w:rPr>
  </w:style>
  <w:style w:type="character" w:styleId="Emphasis">
    <w:name w:val="Emphasis"/>
    <w:basedOn w:val="DefaultParagraphFont"/>
    <w:uiPriority w:val="20"/>
    <w:qFormat/>
    <w:rsid w:val="00BF2FF9"/>
    <w:rPr>
      <w:rFonts w:ascii="Arial" w:hAnsi="Arial"/>
      <w:i/>
      <w:iCs/>
    </w:rPr>
  </w:style>
  <w:style w:type="paragraph" w:styleId="NoSpacing">
    <w:name w:val="No Spacing"/>
    <w:uiPriority w:val="1"/>
    <w:qFormat/>
    <w:rsid w:val="00BF2FF9"/>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BF2FF9"/>
    <w:pPr>
      <w:ind w:left="720"/>
      <w:contextualSpacing/>
    </w:pPr>
  </w:style>
  <w:style w:type="paragraph" w:styleId="Quote">
    <w:name w:val="Quote"/>
    <w:basedOn w:val="Normal"/>
    <w:next w:val="Normal"/>
    <w:link w:val="QuoteChar"/>
    <w:uiPriority w:val="29"/>
    <w:qFormat/>
    <w:rsid w:val="00BF2FF9"/>
    <w:rPr>
      <w:i/>
      <w:iCs/>
      <w:color w:val="000000" w:themeColor="text1"/>
    </w:rPr>
  </w:style>
  <w:style w:type="character" w:customStyle="1" w:styleId="QuoteChar">
    <w:name w:val="Quote Char"/>
    <w:basedOn w:val="DefaultParagraphFont"/>
    <w:link w:val="Quote"/>
    <w:uiPriority w:val="29"/>
    <w:rsid w:val="00BF2FF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F2FF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F2FF9"/>
    <w:rPr>
      <w:rFonts w:ascii="Arial" w:hAnsi="Arial"/>
      <w:b/>
      <w:bCs/>
      <w:i/>
      <w:iCs/>
      <w:sz w:val="24"/>
      <w:szCs w:val="24"/>
    </w:rPr>
  </w:style>
  <w:style w:type="character" w:styleId="SubtleEmphasis">
    <w:name w:val="Subtle Emphasis"/>
    <w:basedOn w:val="DefaultParagraphFont"/>
    <w:uiPriority w:val="19"/>
    <w:qFormat/>
    <w:rsid w:val="00BF2FF9"/>
    <w:rPr>
      <w:rFonts w:ascii="Arial" w:hAnsi="Arial"/>
      <w:i/>
      <w:iCs/>
      <w:color w:val="808080" w:themeColor="text1" w:themeTint="7F"/>
    </w:rPr>
  </w:style>
  <w:style w:type="character" w:styleId="IntenseEmphasis">
    <w:name w:val="Intense Emphasis"/>
    <w:basedOn w:val="DefaultParagraphFont"/>
    <w:uiPriority w:val="21"/>
    <w:qFormat/>
    <w:rsid w:val="00BF2FF9"/>
    <w:rPr>
      <w:rFonts w:ascii="Arial" w:hAnsi="Arial"/>
      <w:b/>
      <w:bCs/>
    </w:rPr>
  </w:style>
  <w:style w:type="character" w:styleId="SubtleReference">
    <w:name w:val="Subtle Reference"/>
    <w:basedOn w:val="DefaultParagraphFont"/>
    <w:uiPriority w:val="31"/>
    <w:qFormat/>
    <w:rsid w:val="00BF2FF9"/>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BF2FF9"/>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BF2FF9"/>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BF2FF9"/>
    <w:rPr>
      <w:b/>
      <w:bCs/>
      <w:smallCaps/>
      <w:color w:val="C0504D" w:themeColor="accent2"/>
      <w:spacing w:val="5"/>
      <w:u w:val="single"/>
    </w:rPr>
  </w:style>
  <w:style w:type="character" w:styleId="BookTitle">
    <w:name w:val="Book Title"/>
    <w:basedOn w:val="DefaultParagraphFont"/>
    <w:uiPriority w:val="33"/>
    <w:qFormat/>
    <w:rsid w:val="00BF2FF9"/>
    <w:rPr>
      <w:b/>
      <w:bCs/>
      <w:smallCaps/>
      <w:spacing w:val="5"/>
    </w:rPr>
  </w:style>
  <w:style w:type="paragraph" w:customStyle="1" w:styleId="AppleFill">
    <w:name w:val="Apple Fill"/>
    <w:basedOn w:val="Normal"/>
    <w:link w:val="AppleFillChar"/>
    <w:uiPriority w:val="10"/>
    <w:qFormat/>
    <w:rsid w:val="00BF2FF9"/>
    <w:rPr>
      <w:b/>
      <w:color w:val="FFFFFF" w:themeColor="background1"/>
      <w:shd w:val="clear" w:color="auto" w:fill="9BBB59" w:themeFill="accent3"/>
    </w:rPr>
  </w:style>
  <w:style w:type="paragraph" w:customStyle="1" w:styleId="AquaFill">
    <w:name w:val="Aqua Fill"/>
    <w:basedOn w:val="Normal"/>
    <w:link w:val="AquaFillChar"/>
    <w:uiPriority w:val="10"/>
    <w:qFormat/>
    <w:rsid w:val="00BF2FF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F2FF9"/>
    <w:rPr>
      <w:rFonts w:ascii="Arial" w:hAnsi="Arial"/>
      <w:b/>
      <w:color w:val="FFFFFF" w:themeColor="background1"/>
      <w:sz w:val="24"/>
      <w:szCs w:val="24"/>
    </w:rPr>
  </w:style>
  <w:style w:type="paragraph" w:customStyle="1" w:styleId="WineFill">
    <w:name w:val="Wine Fill"/>
    <w:basedOn w:val="Normal"/>
    <w:link w:val="WineFillChar"/>
    <w:uiPriority w:val="9"/>
    <w:qFormat/>
    <w:rsid w:val="00BF2FF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F2FF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F2FF9"/>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C8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GC_117726127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[2021-12-09 Committee of the Whole [11076]]</meetingId>
    <capitalProjectPriority xmlns="e6cd7bd4-3f3e-4495-b8c9-139289cd76e6" xsi:nil="true"/>
    <policyApprovalDate xmlns="e6cd7bd4-3f3e-4495-b8c9-139289cd76e6" xsi:nil="true"/>
    <NodeRef xmlns="e6cd7bd4-3f3e-4495-b8c9-139289cd76e6">2ff03379-f035-4744-ad92-8c03f9fb9d1e</NodeRef>
    <addressees xmlns="e6cd7bd4-3f3e-4495-b8c9-139289cd76e6" xsi:nil="true"/>
    <identifier xmlns="e6cd7bd4-3f3e-4495-b8c9-139289cd76e6">2022-1669980125296</identifier>
    <reviewAsOf xmlns="e6cd7bd4-3f3e-4495-b8c9-139289cd76e6">2032-12-02T11:22:14+00:00</reviewAsOf>
    <bylawNumber xmlns="e6cd7bd4-3f3e-4495-b8c9-139289cd76e6" xsi:nil="true"/>
    <addressee xmlns="e6cd7bd4-3f3e-4495-b8c9-139289cd76e6" xsi:nil="true"/>
    <recordOriginatingLocation xmlns="e6cd7bd4-3f3e-4495-b8c9-139289cd76e6">workspace://SpacesStore/fc59a3db-89d6-4247-9592-11fb6ee50292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647D3-E07A-4307-BE76-602494959911}">
  <ds:schemaRefs>
    <ds:schemaRef ds:uri="Microsoft.SharePoint.Taxonomy.ContentTypeSync"/>
  </ds:schemaRefs>
</ds:datastoreItem>
</file>

<file path=customXml/itemProps2.xml><?xml version="1.0" encoding="utf-8"?>
<ds:datastoreItem xmlns:ds="http://schemas.openxmlformats.org/officeDocument/2006/customXml" ds:itemID="{F20AA276-7FD9-423A-8228-A7E4403FF63B}">
  <ds:schemaRefs>
    <ds:schemaRef ds:uri="http://schemas.openxmlformats.org/officeDocument/2006/bibliography"/>
  </ds:schemaRefs>
</ds:datastoreItem>
</file>

<file path=customXml/itemProps3.xml><?xml version="1.0" encoding="utf-8"?>
<ds:datastoreItem xmlns:ds="http://schemas.openxmlformats.org/officeDocument/2006/customXml" ds:itemID="{C034D79F-4746-4088-9501-C74242836C27}">
  <ds:schemaRefs>
    <ds:schemaRef ds:uri="http://schemas.microsoft.com/office/2006/documentManagement/types"/>
    <ds:schemaRef ds:uri="e6cd7bd4-3f3e-4495-b8c9-139289cd76e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5CA0F31-215C-4F4A-9666-CF5534EB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58F30-9C5E-488C-8A81-E241C6C36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2022 Committee Appointments</vt:lpstr>
    </vt:vector>
  </TitlesOfParts>
  <Company>County of Grey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Committee Appointments</dc:title>
  <dc:creator>Elder, Nancy</dc:creator>
  <cp:lastModifiedBy>Mary Lou Spicer</cp:lastModifiedBy>
  <cp:revision>13</cp:revision>
  <cp:lastPrinted>2014-04-01T13:48:00Z</cp:lastPrinted>
  <dcterms:created xsi:type="dcterms:W3CDTF">2021-11-10T18:58:00Z</dcterms:created>
  <dcterms:modified xsi:type="dcterms:W3CDTF">2024-03-12T13:29:00Z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