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E5704DA" w:rsidR="001E1628" w:rsidRDefault="001E1628" w:rsidP="0078559E">
            <w:pPr>
              <w:spacing w:before="60" w:after="60"/>
              <w:rPr>
                <w:rStyle w:val="IntenseEmphasis"/>
                <w:b w:val="0"/>
              </w:rPr>
            </w:pPr>
            <w:r w:rsidRPr="00EF2B1E">
              <w:rPr>
                <w:rStyle w:val="IntenseEmphasis"/>
                <w:b w:val="0"/>
              </w:rPr>
              <w:t>Warden</w:t>
            </w:r>
            <w:r w:rsidRPr="000C20A0">
              <w:rPr>
                <w:rStyle w:val="IntenseEmphasis"/>
                <w:b w:val="0"/>
              </w:rPr>
              <w:t xml:space="preserve"> </w:t>
            </w:r>
            <w:r w:rsidR="00C9380E">
              <w:rPr>
                <w:rStyle w:val="IntenseEmphasis"/>
                <w:b w:val="0"/>
              </w:rPr>
              <w:t>M</w:t>
            </w:r>
            <w:r w:rsidR="00C9380E" w:rsidRPr="00C9380E">
              <w:rPr>
                <w:rStyle w:val="IntenseEmphasis"/>
                <w:b w:val="0"/>
              </w:rPr>
              <w:t>cQueen</w:t>
            </w:r>
            <w:r w:rsidR="000C20A0" w:rsidRPr="00C9380E">
              <w:rPr>
                <w:rStyle w:val="IntenseEmphasis"/>
                <w:b w:val="0"/>
              </w:rPr>
              <w:t xml:space="preserve"> </w:t>
            </w:r>
            <w:r w:rsidRPr="00EF2B1E">
              <w:rPr>
                <w:rStyle w:val="IntenseEmphasis"/>
                <w:b w:val="0"/>
              </w:rPr>
              <w:t>and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3C293644" w:rsidR="001E1628" w:rsidRPr="000C20A0" w:rsidRDefault="00C9380E" w:rsidP="0078559E">
            <w:pPr>
              <w:spacing w:before="60" w:after="60"/>
              <w:rPr>
                <w:rStyle w:val="IntenseEmphasis"/>
                <w:b w:val="0"/>
              </w:rPr>
            </w:pPr>
            <w:r w:rsidRPr="00C9380E">
              <w:rPr>
                <w:rStyle w:val="IntenseEmphasis"/>
                <w:b w:val="0"/>
              </w:rPr>
              <w:t>January 9</w:t>
            </w:r>
            <w:r w:rsidR="000C20A0" w:rsidRPr="000C20A0">
              <w:rPr>
                <w:rStyle w:val="IntenseEmphasis"/>
                <w:b w:val="0"/>
              </w:rPr>
              <w:t>, 20</w:t>
            </w:r>
            <w:r>
              <w:rPr>
                <w:rStyle w:val="IntenseEmphasis"/>
                <w:b w:val="0"/>
              </w:rPr>
              <w:t>20</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11678F37" w:rsidR="001E1628" w:rsidRPr="000C20A0" w:rsidRDefault="000C20A0" w:rsidP="0078559E">
            <w:pPr>
              <w:spacing w:before="60" w:after="60"/>
              <w:rPr>
                <w:rStyle w:val="IntenseEmphasis"/>
                <w:b w:val="0"/>
              </w:rPr>
            </w:pPr>
            <w:r w:rsidRPr="000C20A0">
              <w:rPr>
                <w:rStyle w:val="IntenseEmphasis"/>
                <w:b w:val="0"/>
              </w:rPr>
              <w:t>TR-</w:t>
            </w:r>
            <w:r w:rsidRPr="009A6E25">
              <w:rPr>
                <w:rStyle w:val="IntenseEmphasis"/>
                <w:b w:val="0"/>
              </w:rPr>
              <w:t>CW-</w:t>
            </w:r>
            <w:r w:rsidR="004F5F05">
              <w:rPr>
                <w:rStyle w:val="IntenseEmphasis"/>
                <w:b w:val="0"/>
              </w:rPr>
              <w:t>0</w:t>
            </w:r>
            <w:r w:rsidR="004F5F05" w:rsidRPr="004F5F05">
              <w:rPr>
                <w:rStyle w:val="IntenseEmphasis"/>
                <w:b w:val="0"/>
              </w:rPr>
              <w:t>4</w:t>
            </w:r>
            <w:r w:rsidR="009A6E25" w:rsidRPr="009A6E25">
              <w:rPr>
                <w:rStyle w:val="IntenseEmphasis"/>
                <w:b w:val="0"/>
              </w:rPr>
              <w:t>-</w:t>
            </w:r>
            <w:r w:rsidR="00C9380E">
              <w:rPr>
                <w:rStyle w:val="IntenseEmphasis"/>
                <w:b w:val="0"/>
              </w:rPr>
              <w:t>20</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1AC4DDCD" w:rsidR="001E1628" w:rsidRPr="00EF2B1E" w:rsidRDefault="000C20A0" w:rsidP="0078559E">
            <w:pPr>
              <w:spacing w:before="60" w:after="60"/>
              <w:rPr>
                <w:rStyle w:val="IntenseEmphasis"/>
                <w:b w:val="0"/>
              </w:rPr>
            </w:pPr>
            <w:r>
              <w:rPr>
                <w:rStyle w:val="IntenseEmphasis"/>
                <w:b w:val="0"/>
              </w:rPr>
              <w:t xml:space="preserve">Road Widening Acquisition Grey Road </w:t>
            </w:r>
            <w:r w:rsidR="00C9380E">
              <w:rPr>
                <w:rStyle w:val="IntenseEmphasis"/>
                <w:b w:val="0"/>
              </w:rPr>
              <w:t>170</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4DEC3312" w:rsidR="001E1628" w:rsidRPr="00E9650E" w:rsidRDefault="00C9380E" w:rsidP="0078559E">
            <w:pPr>
              <w:spacing w:before="60" w:after="60"/>
              <w:rPr>
                <w:rStyle w:val="IntenseEmphasis"/>
                <w:b w:val="0"/>
              </w:rPr>
            </w:pPr>
            <w:r>
              <w:rPr>
                <w:rStyle w:val="IntenseEmphasis"/>
                <w:b w:val="0"/>
              </w:rPr>
              <w:t>Lacey Thompson, Contract and Real Estate Coordinator</w:t>
            </w:r>
            <w:r w:rsidR="008937B7">
              <w:rPr>
                <w:rStyle w:val="IntenseEmphasis"/>
                <w:b w:val="0"/>
              </w:rPr>
              <w:t xml:space="preserve"> </w:t>
            </w:r>
            <w:r w:rsidR="008937B7" w:rsidRPr="008937B7">
              <w:rPr>
                <w:rStyle w:val="IntenseEmphasis"/>
                <w:b w:val="0"/>
              </w:rPr>
              <w:t>and Pat Hoy, Director of Transportation Services</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159ABBCD" w:rsidR="001E1628" w:rsidRPr="00EF2B1E" w:rsidRDefault="008937B7" w:rsidP="0078559E">
            <w:pPr>
              <w:spacing w:before="60" w:after="60"/>
              <w:rPr>
                <w:rStyle w:val="IntenseEmphasis"/>
                <w:b w:val="0"/>
              </w:rPr>
            </w:pPr>
            <w:r>
              <w:rPr>
                <w:rStyle w:val="IntenseEmphasis"/>
                <w:b w:val="0"/>
              </w:rPr>
              <w:t>Kim Wingrove,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762D1E42" w:rsidR="001E1628" w:rsidRPr="00EF2B1E" w:rsidRDefault="000C20A0" w:rsidP="0078559E">
            <w:pPr>
              <w:spacing w:before="60" w:after="60"/>
              <w:rPr>
                <w:rStyle w:val="IntenseEmphasis"/>
                <w:b w:val="0"/>
              </w:rPr>
            </w:pPr>
            <w:r>
              <w:rPr>
                <w:rStyle w:val="IntenseEmphasis"/>
                <w:b w:val="0"/>
              </w:rPr>
              <w:t xml:space="preserve">Township of </w:t>
            </w:r>
            <w:r w:rsidR="00C9380E">
              <w:rPr>
                <w:rStyle w:val="IntenseEmphasis"/>
                <w:b w:val="0"/>
              </w:rPr>
              <w:t>Georgian Bluffs</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1F1B65D6" w:rsidR="001E1628" w:rsidRPr="007130A9" w:rsidRDefault="00001D1C" w:rsidP="0078559E">
            <w:pPr>
              <w:spacing w:before="60" w:after="60"/>
              <w:rPr>
                <w:rStyle w:val="IntenseEmphasis"/>
                <w:b w:val="0"/>
              </w:rPr>
            </w:pPr>
            <w:r w:rsidRPr="00001D1C">
              <w:rPr>
                <w:rStyle w:val="IntenseEmphasis"/>
                <w:b w:val="0"/>
              </w:rPr>
              <w:t>Recommendation adopted by Committee as presented per Resolution CW19</w:t>
            </w:r>
            <w:bookmarkStart w:id="0" w:name="_GoBack"/>
            <w:bookmarkEnd w:id="0"/>
            <w:r w:rsidRPr="00001D1C">
              <w:rPr>
                <w:rStyle w:val="IntenseEmphasis"/>
                <w:b w:val="0"/>
              </w:rPr>
              <w:t>-20;</w:t>
            </w:r>
            <w:r>
              <w:rPr>
                <w:rStyle w:val="IntenseEmphasis"/>
              </w:rPr>
              <w:t xml:space="preserve"> </w:t>
            </w:r>
            <w:r>
              <w:t>Endorsed by County Council January 23, 2020 per Resolution CC18-20;</w:t>
            </w:r>
            <w:r>
              <w:t xml:space="preserve"> </w:t>
            </w:r>
          </w:p>
        </w:tc>
      </w:tr>
    </w:tbl>
    <w:p w14:paraId="1D25FA9B" w14:textId="59FB0B21" w:rsidR="001E1628" w:rsidRPr="001E1628" w:rsidRDefault="001E1628" w:rsidP="001E1628">
      <w:pPr>
        <w:pStyle w:val="Heading1"/>
      </w:pPr>
      <w:r w:rsidRPr="001E1628">
        <w:t>Recommendation</w:t>
      </w:r>
    </w:p>
    <w:p w14:paraId="550BDD4E" w14:textId="077C44F9" w:rsidR="001E1628" w:rsidRPr="001E1628" w:rsidRDefault="001E1628" w:rsidP="008937B7">
      <w:pPr>
        <w:numPr>
          <w:ilvl w:val="0"/>
          <w:numId w:val="1"/>
        </w:numPr>
        <w:spacing w:before="240"/>
        <w:ind w:left="720" w:hanging="360"/>
        <w:rPr>
          <w:b/>
          <w:bCs/>
        </w:rPr>
      </w:pPr>
      <w:bookmarkStart w:id="1" w:name="_Hlk22135677"/>
      <w:r w:rsidRPr="001E1628">
        <w:rPr>
          <w:b/>
          <w:bCs/>
        </w:rPr>
        <w:t xml:space="preserve">That </w:t>
      </w:r>
      <w:r w:rsidR="000C20A0">
        <w:rPr>
          <w:b/>
          <w:bCs/>
        </w:rPr>
        <w:t>Report TR-CW-</w:t>
      </w:r>
      <w:r w:rsidR="008937B7">
        <w:rPr>
          <w:b/>
          <w:bCs/>
        </w:rPr>
        <w:t>04</w:t>
      </w:r>
      <w:r w:rsidR="000C20A0">
        <w:rPr>
          <w:b/>
          <w:bCs/>
        </w:rPr>
        <w:t>-</w:t>
      </w:r>
      <w:r w:rsidR="00C9380E">
        <w:rPr>
          <w:b/>
          <w:bCs/>
        </w:rPr>
        <w:t>20</w:t>
      </w:r>
      <w:r w:rsidR="000C20A0">
        <w:rPr>
          <w:b/>
          <w:bCs/>
        </w:rPr>
        <w:t xml:space="preserve"> regarding the acquisition of road widening be received and that the property identified as Part of Lot </w:t>
      </w:r>
      <w:r w:rsidR="00386F45">
        <w:rPr>
          <w:b/>
          <w:bCs/>
        </w:rPr>
        <w:t>18</w:t>
      </w:r>
      <w:r w:rsidR="000C20A0">
        <w:rPr>
          <w:b/>
          <w:bCs/>
        </w:rPr>
        <w:t xml:space="preserve"> Concession </w:t>
      </w:r>
      <w:r w:rsidR="00386F45">
        <w:rPr>
          <w:b/>
          <w:bCs/>
        </w:rPr>
        <w:t>12 Keppel</w:t>
      </w:r>
      <w:r w:rsidR="000C20A0">
        <w:rPr>
          <w:b/>
          <w:bCs/>
        </w:rPr>
        <w:t xml:space="preserve"> </w:t>
      </w:r>
      <w:r w:rsidR="00302697">
        <w:rPr>
          <w:b/>
          <w:bCs/>
        </w:rPr>
        <w:t>shown as</w:t>
      </w:r>
      <w:r w:rsidR="000C20A0">
        <w:rPr>
          <w:b/>
          <w:bCs/>
        </w:rPr>
        <w:t xml:space="preserve"> Part </w:t>
      </w:r>
      <w:r w:rsidR="00C9380E">
        <w:rPr>
          <w:b/>
          <w:bCs/>
        </w:rPr>
        <w:t>5</w:t>
      </w:r>
      <w:r w:rsidR="000C20A0">
        <w:rPr>
          <w:b/>
          <w:bCs/>
        </w:rPr>
        <w:t xml:space="preserve"> </w:t>
      </w:r>
      <w:r w:rsidR="00302697">
        <w:rPr>
          <w:b/>
          <w:bCs/>
        </w:rPr>
        <w:t xml:space="preserve">on </w:t>
      </w:r>
      <w:r w:rsidR="00C9380E">
        <w:rPr>
          <w:b/>
          <w:bCs/>
        </w:rPr>
        <w:t>Plan 16R-</w:t>
      </w:r>
      <w:r w:rsidR="008668ED">
        <w:rPr>
          <w:b/>
          <w:bCs/>
        </w:rPr>
        <w:t>10010</w:t>
      </w:r>
      <w:r w:rsidR="000C20A0">
        <w:rPr>
          <w:b/>
          <w:bCs/>
        </w:rPr>
        <w:t xml:space="preserve">; Geographic Township of </w:t>
      </w:r>
      <w:r w:rsidR="00C9380E">
        <w:rPr>
          <w:b/>
          <w:bCs/>
        </w:rPr>
        <w:t>Keppel</w:t>
      </w:r>
      <w:r w:rsidR="000C20A0">
        <w:rPr>
          <w:b/>
          <w:bCs/>
        </w:rPr>
        <w:t xml:space="preserve">, Township of </w:t>
      </w:r>
      <w:r w:rsidR="00C9380E">
        <w:rPr>
          <w:b/>
          <w:bCs/>
        </w:rPr>
        <w:t>Georgian Bluffs</w:t>
      </w:r>
      <w:r w:rsidR="000C20A0">
        <w:rPr>
          <w:b/>
          <w:bCs/>
        </w:rPr>
        <w:t>, County of Grey be acquired by The Corporation of the County of Grey for road widening purposes</w:t>
      </w:r>
      <w:r w:rsidR="008937B7">
        <w:rPr>
          <w:b/>
          <w:bCs/>
        </w:rPr>
        <w:t>.</w:t>
      </w:r>
    </w:p>
    <w:bookmarkEnd w:id="1"/>
    <w:p w14:paraId="04FB7F9E" w14:textId="125174D0" w:rsidR="001E1628" w:rsidRPr="001E1628" w:rsidRDefault="001E1628" w:rsidP="001E1628">
      <w:pPr>
        <w:pStyle w:val="Heading2"/>
      </w:pPr>
      <w:r w:rsidRPr="001E1628">
        <w:t>Executive Summary</w:t>
      </w:r>
    </w:p>
    <w:p w14:paraId="116B48F2" w14:textId="11F46B0D" w:rsidR="000C20A0" w:rsidRDefault="000C20A0" w:rsidP="000C20A0">
      <w:pPr>
        <w:rPr>
          <w:rStyle w:val="IntenseEmphasis"/>
          <w:b w:val="0"/>
        </w:rPr>
      </w:pPr>
      <w:r>
        <w:rPr>
          <w:rStyle w:val="IntenseEmphasis"/>
          <w:b w:val="0"/>
        </w:rPr>
        <w:t xml:space="preserve">The Township of </w:t>
      </w:r>
      <w:r w:rsidR="00C9380E">
        <w:rPr>
          <w:rStyle w:val="IntenseEmphasis"/>
          <w:b w:val="0"/>
        </w:rPr>
        <w:t>Georgian Bluffs</w:t>
      </w:r>
      <w:r>
        <w:rPr>
          <w:rStyle w:val="IntenseEmphasis"/>
          <w:b w:val="0"/>
        </w:rPr>
        <w:t xml:space="preserve"> granted severance application B</w:t>
      </w:r>
      <w:r w:rsidR="00C9380E">
        <w:rPr>
          <w:rStyle w:val="IntenseEmphasis"/>
          <w:b w:val="0"/>
        </w:rPr>
        <w:t>1</w:t>
      </w:r>
      <w:r>
        <w:rPr>
          <w:rStyle w:val="IntenseEmphasis"/>
          <w:b w:val="0"/>
        </w:rPr>
        <w:t xml:space="preserve">3-2019 for the purpose of a lot addition. </w:t>
      </w:r>
      <w:r w:rsidR="008937B7">
        <w:rPr>
          <w:rStyle w:val="IntenseEmphasis"/>
          <w:b w:val="0"/>
        </w:rPr>
        <w:t xml:space="preserve"> </w:t>
      </w:r>
      <w:r>
        <w:rPr>
          <w:rStyle w:val="IntenseEmphasis"/>
          <w:b w:val="0"/>
        </w:rPr>
        <w:t xml:space="preserve">The existing lot to be added to was created with </w:t>
      </w:r>
      <w:r w:rsidR="00B330E3">
        <w:rPr>
          <w:rStyle w:val="IntenseEmphasis"/>
          <w:b w:val="0"/>
        </w:rPr>
        <w:t>P</w:t>
      </w:r>
      <w:r>
        <w:rPr>
          <w:rStyle w:val="IntenseEmphasis"/>
          <w:b w:val="0"/>
        </w:rPr>
        <w:t xml:space="preserve">lanning </w:t>
      </w:r>
      <w:r w:rsidR="00B330E3">
        <w:rPr>
          <w:rStyle w:val="IntenseEmphasis"/>
          <w:b w:val="0"/>
        </w:rPr>
        <w:t>A</w:t>
      </w:r>
      <w:r>
        <w:rPr>
          <w:rStyle w:val="IntenseEmphasis"/>
          <w:b w:val="0"/>
        </w:rPr>
        <w:t xml:space="preserve">ct consent in </w:t>
      </w:r>
      <w:r w:rsidR="00386F45">
        <w:rPr>
          <w:rStyle w:val="IntenseEmphasis"/>
          <w:b w:val="0"/>
        </w:rPr>
        <w:t>1991</w:t>
      </w:r>
      <w:r>
        <w:rPr>
          <w:rStyle w:val="IntenseEmphasis"/>
          <w:b w:val="0"/>
        </w:rPr>
        <w:t>.</w:t>
      </w:r>
    </w:p>
    <w:p w14:paraId="5BDA1D5E" w14:textId="1D8C96F7" w:rsidR="000C20A0" w:rsidRDefault="000C20A0" w:rsidP="000C20A0">
      <w:pPr>
        <w:rPr>
          <w:rStyle w:val="IntenseEmphasis"/>
          <w:b w:val="0"/>
        </w:rPr>
      </w:pPr>
      <w:r>
        <w:rPr>
          <w:rStyle w:val="IntenseEmphasis"/>
          <w:b w:val="0"/>
        </w:rPr>
        <w:t xml:space="preserve">Lots created with </w:t>
      </w:r>
      <w:r w:rsidR="00B330E3">
        <w:rPr>
          <w:rStyle w:val="IntenseEmphasis"/>
          <w:b w:val="0"/>
        </w:rPr>
        <w:t>P</w:t>
      </w:r>
      <w:r>
        <w:rPr>
          <w:rStyle w:val="IntenseEmphasis"/>
          <w:b w:val="0"/>
        </w:rPr>
        <w:t xml:space="preserve">lanning </w:t>
      </w:r>
      <w:r w:rsidR="00B330E3">
        <w:rPr>
          <w:rStyle w:val="IntenseEmphasis"/>
          <w:b w:val="0"/>
        </w:rPr>
        <w:t>A</w:t>
      </w:r>
      <w:r>
        <w:rPr>
          <w:rStyle w:val="IntenseEmphasis"/>
          <w:b w:val="0"/>
        </w:rPr>
        <w:t>ct consent cannot be re-registered to merge with adjacent land unless they are physically changed or altered.</w:t>
      </w:r>
    </w:p>
    <w:p w14:paraId="59A5747E" w14:textId="56D5DBBC" w:rsidR="000C20A0" w:rsidRPr="00EF2B1E" w:rsidRDefault="000C20A0" w:rsidP="000C20A0">
      <w:pPr>
        <w:rPr>
          <w:rStyle w:val="IntenseEmphasis"/>
          <w:b w:val="0"/>
        </w:rPr>
      </w:pPr>
      <w:r>
        <w:rPr>
          <w:rStyle w:val="IntenseEmphasis"/>
          <w:b w:val="0"/>
        </w:rPr>
        <w:t xml:space="preserve">The acquisition of a road widening parcel by the County off the front of the lot that was created in </w:t>
      </w:r>
      <w:r w:rsidR="00386F45">
        <w:rPr>
          <w:rStyle w:val="IntenseEmphasis"/>
          <w:b w:val="0"/>
        </w:rPr>
        <w:t>1991</w:t>
      </w:r>
      <w:r w:rsidR="00C9380E">
        <w:rPr>
          <w:rStyle w:val="IntenseEmphasis"/>
          <w:b w:val="0"/>
        </w:rPr>
        <w:t xml:space="preserve"> </w:t>
      </w:r>
      <w:r>
        <w:rPr>
          <w:rStyle w:val="IntenseEmphasis"/>
          <w:b w:val="0"/>
        </w:rPr>
        <w:t xml:space="preserve">will alter the parcel and allow the two parcels to merge on title in accordance with </w:t>
      </w:r>
      <w:r w:rsidR="008937B7">
        <w:rPr>
          <w:rStyle w:val="IntenseEmphasis"/>
          <w:b w:val="0"/>
        </w:rPr>
        <w:t>C</w:t>
      </w:r>
      <w:r>
        <w:rPr>
          <w:rStyle w:val="IntenseEmphasis"/>
          <w:b w:val="0"/>
        </w:rPr>
        <w:t>ondition</w:t>
      </w:r>
      <w:r w:rsidR="00E9650E">
        <w:rPr>
          <w:rStyle w:val="IntenseEmphasis"/>
          <w:b w:val="0"/>
        </w:rPr>
        <w:t xml:space="preserve"> </w:t>
      </w:r>
      <w:r w:rsidR="00386F45">
        <w:rPr>
          <w:rStyle w:val="IntenseEmphasis"/>
          <w:b w:val="0"/>
        </w:rPr>
        <w:t>3</w:t>
      </w:r>
      <w:r w:rsidR="009A6E25">
        <w:rPr>
          <w:rStyle w:val="IntenseEmphasis"/>
          <w:b w:val="0"/>
        </w:rPr>
        <w:t xml:space="preserve"> of </w:t>
      </w:r>
      <w:r w:rsidR="00E9650E">
        <w:rPr>
          <w:rStyle w:val="IntenseEmphasis"/>
          <w:b w:val="0"/>
        </w:rPr>
        <w:t>S</w:t>
      </w:r>
      <w:r w:rsidR="009A6E25">
        <w:rPr>
          <w:rStyle w:val="IntenseEmphasis"/>
          <w:b w:val="0"/>
        </w:rPr>
        <w:t>everance B</w:t>
      </w:r>
      <w:r w:rsidR="00C9380E">
        <w:rPr>
          <w:rStyle w:val="IntenseEmphasis"/>
          <w:b w:val="0"/>
        </w:rPr>
        <w:t>1</w:t>
      </w:r>
      <w:r w:rsidR="009A6E25">
        <w:rPr>
          <w:rStyle w:val="IntenseEmphasis"/>
          <w:b w:val="0"/>
        </w:rPr>
        <w:t>3-2019</w:t>
      </w:r>
      <w:r>
        <w:rPr>
          <w:rStyle w:val="IntenseEmphasis"/>
          <w:b w:val="0"/>
        </w:rPr>
        <w:t>.</w:t>
      </w:r>
    </w:p>
    <w:p w14:paraId="3241382E" w14:textId="77777777" w:rsidR="001E1628" w:rsidRPr="001E1628" w:rsidRDefault="001E1628" w:rsidP="001E1628">
      <w:pPr>
        <w:pStyle w:val="Heading2"/>
      </w:pPr>
      <w:r w:rsidRPr="001E1628">
        <w:lastRenderedPageBreak/>
        <w:t>Background and Discussion</w:t>
      </w:r>
    </w:p>
    <w:p w14:paraId="1F7C05CE" w14:textId="472B9AB5" w:rsidR="000C20A0" w:rsidRDefault="000C20A0" w:rsidP="000C20A0">
      <w:pPr>
        <w:rPr>
          <w:rStyle w:val="IntenseEmphasis"/>
          <w:b w:val="0"/>
        </w:rPr>
      </w:pPr>
      <w:r>
        <w:rPr>
          <w:rStyle w:val="IntenseEmphasis"/>
          <w:b w:val="0"/>
        </w:rPr>
        <w:t xml:space="preserve">The Township of </w:t>
      </w:r>
      <w:r w:rsidR="00C9380E">
        <w:rPr>
          <w:rStyle w:val="IntenseEmphasis"/>
          <w:b w:val="0"/>
        </w:rPr>
        <w:t>Georgian Bluffs</w:t>
      </w:r>
      <w:r>
        <w:rPr>
          <w:rStyle w:val="IntenseEmphasis"/>
          <w:b w:val="0"/>
        </w:rPr>
        <w:t xml:space="preserve"> granted severance application </w:t>
      </w:r>
      <w:r w:rsidR="00903BDA">
        <w:rPr>
          <w:rStyle w:val="IntenseEmphasis"/>
          <w:b w:val="0"/>
        </w:rPr>
        <w:t>B</w:t>
      </w:r>
      <w:r w:rsidR="00C9380E">
        <w:rPr>
          <w:rStyle w:val="IntenseEmphasis"/>
          <w:b w:val="0"/>
        </w:rPr>
        <w:t>1</w:t>
      </w:r>
      <w:r w:rsidR="00903BDA">
        <w:rPr>
          <w:rStyle w:val="IntenseEmphasis"/>
          <w:b w:val="0"/>
        </w:rPr>
        <w:t>3-2019</w:t>
      </w:r>
      <w:r>
        <w:rPr>
          <w:rStyle w:val="IntenseEmphasis"/>
          <w:b w:val="0"/>
        </w:rPr>
        <w:t xml:space="preserve"> for the purpose of a lot addition.  The property to be added to was created with </w:t>
      </w:r>
      <w:r w:rsidR="002051A6">
        <w:rPr>
          <w:rStyle w:val="IntenseEmphasis"/>
          <w:b w:val="0"/>
        </w:rPr>
        <w:t>P</w:t>
      </w:r>
      <w:r>
        <w:rPr>
          <w:rStyle w:val="IntenseEmphasis"/>
          <w:b w:val="0"/>
        </w:rPr>
        <w:t xml:space="preserve">lanning </w:t>
      </w:r>
      <w:r w:rsidR="002051A6">
        <w:rPr>
          <w:rStyle w:val="IntenseEmphasis"/>
          <w:b w:val="0"/>
        </w:rPr>
        <w:t>A</w:t>
      </w:r>
      <w:r>
        <w:rPr>
          <w:rStyle w:val="IntenseEmphasis"/>
          <w:b w:val="0"/>
        </w:rPr>
        <w:t xml:space="preserve">ct </w:t>
      </w:r>
      <w:r w:rsidR="002051A6">
        <w:rPr>
          <w:rStyle w:val="IntenseEmphasis"/>
          <w:b w:val="0"/>
        </w:rPr>
        <w:t>C</w:t>
      </w:r>
      <w:r>
        <w:rPr>
          <w:rStyle w:val="IntenseEmphasis"/>
          <w:b w:val="0"/>
        </w:rPr>
        <w:t xml:space="preserve">onsent pursuant to a decision granted by the </w:t>
      </w:r>
      <w:r w:rsidR="00386F45">
        <w:rPr>
          <w:rStyle w:val="IntenseEmphasis"/>
          <w:b w:val="0"/>
        </w:rPr>
        <w:t>Grey County</w:t>
      </w:r>
      <w:r w:rsidRPr="00DC642D">
        <w:rPr>
          <w:rStyle w:val="IntenseEmphasis"/>
          <w:b w:val="0"/>
        </w:rPr>
        <w:t xml:space="preserve"> Planning Approval </w:t>
      </w:r>
      <w:r w:rsidR="00386F45">
        <w:rPr>
          <w:rStyle w:val="IntenseEmphasis"/>
          <w:b w:val="0"/>
        </w:rPr>
        <w:t xml:space="preserve">Committee </w:t>
      </w:r>
      <w:r w:rsidRPr="00DC642D">
        <w:rPr>
          <w:rStyle w:val="IntenseEmphasis"/>
          <w:b w:val="0"/>
        </w:rPr>
        <w:t xml:space="preserve">in </w:t>
      </w:r>
      <w:r w:rsidR="00386F45">
        <w:rPr>
          <w:rStyle w:val="IntenseEmphasis"/>
          <w:b w:val="0"/>
        </w:rPr>
        <w:t>1991</w:t>
      </w:r>
      <w:r w:rsidRPr="00DC642D">
        <w:rPr>
          <w:rStyle w:val="IntenseEmphasis"/>
          <w:b w:val="0"/>
        </w:rPr>
        <w:t xml:space="preserve"> under its file number </w:t>
      </w:r>
      <w:r w:rsidR="00386F45">
        <w:rPr>
          <w:rStyle w:val="IntenseEmphasis"/>
          <w:b w:val="0"/>
        </w:rPr>
        <w:t>1019-89</w:t>
      </w:r>
      <w:r w:rsidRPr="00DC642D">
        <w:rPr>
          <w:rStyle w:val="IntenseEmphasis"/>
          <w:b w:val="0"/>
        </w:rPr>
        <w:t>.</w:t>
      </w:r>
    </w:p>
    <w:p w14:paraId="73F763FC" w14:textId="77777777" w:rsidR="000C20A0" w:rsidRPr="00EF2B1E" w:rsidRDefault="000C20A0" w:rsidP="000C20A0">
      <w:pPr>
        <w:rPr>
          <w:rStyle w:val="IntenseEmphasis"/>
          <w:b w:val="0"/>
        </w:rPr>
      </w:pPr>
      <w:r>
        <w:rPr>
          <w:rStyle w:val="IntenseEmphasis"/>
          <w:b w:val="0"/>
        </w:rPr>
        <w:t xml:space="preserve">Under subsection 50 (12) of the Planning Act, R.S.O. 1990, c. P. 13 as amended, commonly referred to as the “Once a Severance, </w:t>
      </w:r>
      <w:proofErr w:type="gramStart"/>
      <w:r>
        <w:rPr>
          <w:rStyle w:val="IntenseEmphasis"/>
          <w:b w:val="0"/>
        </w:rPr>
        <w:t>Always</w:t>
      </w:r>
      <w:proofErr w:type="gramEnd"/>
      <w:r>
        <w:rPr>
          <w:rStyle w:val="IntenseEmphasis"/>
          <w:b w:val="0"/>
        </w:rPr>
        <w:t xml:space="preserve"> a Severance Rule”, the original severed parcel could potentially be sold, transferred, or mortgaged separate from the lot addition parcel.  This would result in the unauthorized creation of three separate lots.</w:t>
      </w:r>
    </w:p>
    <w:p w14:paraId="74C3A491" w14:textId="122FDF31" w:rsidR="000C20A0" w:rsidRDefault="000C20A0" w:rsidP="000C20A0">
      <w:pPr>
        <w:rPr>
          <w:rStyle w:val="IntenseEmphasis"/>
          <w:b w:val="0"/>
        </w:rPr>
      </w:pPr>
      <w:r>
        <w:rPr>
          <w:rStyle w:val="IntenseEmphasis"/>
          <w:b w:val="0"/>
        </w:rPr>
        <w:t xml:space="preserve">Given that the creation of the proposed lot is dependent on it merging with the existing lot created with Planning Act Consent in </w:t>
      </w:r>
      <w:r w:rsidR="008B3AA7">
        <w:rPr>
          <w:rStyle w:val="IntenseEmphasis"/>
          <w:b w:val="0"/>
        </w:rPr>
        <w:t>1991</w:t>
      </w:r>
      <w:r>
        <w:rPr>
          <w:rStyle w:val="IntenseEmphasis"/>
          <w:b w:val="0"/>
        </w:rPr>
        <w:t xml:space="preserve"> it is necessary to alter the dimensions of the existing lot to ensure the parcels can legally merge on title.</w:t>
      </w:r>
    </w:p>
    <w:p w14:paraId="3DADE16F" w14:textId="19D3AE98" w:rsidR="008B3AA7" w:rsidRPr="008B3AA7" w:rsidRDefault="008B3AA7" w:rsidP="008B3AA7">
      <w:pPr>
        <w:rPr>
          <w:rStyle w:val="IntenseEmphasis"/>
          <w:b w:val="0"/>
          <w:sz w:val="22"/>
          <w:szCs w:val="22"/>
        </w:rPr>
      </w:pPr>
      <w:r w:rsidRPr="008B3AA7">
        <w:rPr>
          <w:rStyle w:val="IntenseEmphasis"/>
          <w:b w:val="0"/>
        </w:rPr>
        <w:t xml:space="preserve">Transportation </w:t>
      </w:r>
      <w:r w:rsidR="00B330E3">
        <w:rPr>
          <w:rStyle w:val="IntenseEmphasis"/>
          <w:b w:val="0"/>
        </w:rPr>
        <w:t xml:space="preserve">Services </w:t>
      </w:r>
      <w:r w:rsidRPr="008B3AA7">
        <w:rPr>
          <w:rStyle w:val="IntenseEmphasis"/>
          <w:b w:val="0"/>
        </w:rPr>
        <w:t xml:space="preserve">tried to acquire the property several years ago and had the widening surveyed and Reference Plan was deposited at the Land Registry office in </w:t>
      </w:r>
      <w:r>
        <w:rPr>
          <w:rStyle w:val="IntenseEmphasis"/>
          <w:b w:val="0"/>
        </w:rPr>
        <w:t>2011</w:t>
      </w:r>
      <w:r w:rsidRPr="008B3AA7">
        <w:rPr>
          <w:rStyle w:val="IntenseEmphasis"/>
          <w:b w:val="0"/>
        </w:rPr>
        <w:t xml:space="preserve">. </w:t>
      </w:r>
      <w:r w:rsidR="008937B7">
        <w:rPr>
          <w:rStyle w:val="IntenseEmphasis"/>
          <w:b w:val="0"/>
        </w:rPr>
        <w:t xml:space="preserve"> </w:t>
      </w:r>
      <w:r w:rsidRPr="008B3AA7">
        <w:rPr>
          <w:rStyle w:val="IntenseEmphasis"/>
          <w:b w:val="0"/>
        </w:rPr>
        <w:t>The widening was not acquired at that time.</w:t>
      </w:r>
    </w:p>
    <w:p w14:paraId="0E3C7D99" w14:textId="2EE6BDA0" w:rsidR="00903BDA" w:rsidRDefault="006F48BE" w:rsidP="000C20A0">
      <w:pPr>
        <w:rPr>
          <w:rStyle w:val="IntenseEmphasis"/>
          <w:b w:val="0"/>
        </w:rPr>
      </w:pPr>
      <w:r w:rsidRPr="006F48BE">
        <w:rPr>
          <w:rStyle w:val="IntenseEmphasis"/>
          <w:b w:val="0"/>
        </w:rPr>
        <w:t>Transportation s</w:t>
      </w:r>
      <w:r w:rsidR="00903BDA" w:rsidRPr="006F48BE">
        <w:rPr>
          <w:rStyle w:val="IntenseEmphasis"/>
          <w:b w:val="0"/>
        </w:rPr>
        <w:t xml:space="preserve">taff </w:t>
      </w:r>
      <w:r w:rsidRPr="006F48BE">
        <w:rPr>
          <w:rStyle w:val="IntenseEmphasis"/>
          <w:b w:val="0"/>
        </w:rPr>
        <w:t xml:space="preserve">negotiated with </w:t>
      </w:r>
      <w:r w:rsidR="00903BDA" w:rsidRPr="006F48BE">
        <w:rPr>
          <w:rStyle w:val="IntenseEmphasis"/>
          <w:b w:val="0"/>
        </w:rPr>
        <w:t xml:space="preserve">the landowner </w:t>
      </w:r>
      <w:r w:rsidRPr="006F48BE">
        <w:rPr>
          <w:rStyle w:val="IntenseEmphasis"/>
          <w:b w:val="0"/>
        </w:rPr>
        <w:t>who has agreed to transfer the</w:t>
      </w:r>
      <w:r w:rsidR="00903BDA" w:rsidRPr="006F48BE">
        <w:rPr>
          <w:rStyle w:val="IntenseEmphasis"/>
          <w:b w:val="0"/>
        </w:rPr>
        <w:t xml:space="preserve"> road widening parcel to the County for the </w:t>
      </w:r>
      <w:r>
        <w:rPr>
          <w:rStyle w:val="IntenseEmphasis"/>
          <w:b w:val="0"/>
        </w:rPr>
        <w:t xml:space="preserve">nominal </w:t>
      </w:r>
      <w:r w:rsidR="00903BDA" w:rsidRPr="006F48BE">
        <w:rPr>
          <w:rStyle w:val="IntenseEmphasis"/>
          <w:b w:val="0"/>
        </w:rPr>
        <w:t>consideration price of $</w:t>
      </w:r>
      <w:r w:rsidRPr="006F48BE">
        <w:rPr>
          <w:rStyle w:val="IntenseEmphasis"/>
          <w:b w:val="0"/>
        </w:rPr>
        <w:t>2.00</w:t>
      </w:r>
      <w:r w:rsidR="00903BDA" w:rsidRPr="006F48BE">
        <w:rPr>
          <w:rStyle w:val="IntenseEmphasis"/>
          <w:b w:val="0"/>
        </w:rPr>
        <w:t xml:space="preserve"> </w:t>
      </w:r>
      <w:r>
        <w:rPr>
          <w:rStyle w:val="IntenseEmphasis"/>
          <w:b w:val="0"/>
        </w:rPr>
        <w:t>provided the County pay for all legal expenses in relation to the transfer of this parcel of land.</w:t>
      </w:r>
    </w:p>
    <w:p w14:paraId="108D4FC8" w14:textId="318EE118" w:rsidR="000C20A0" w:rsidRPr="00EF2B1E" w:rsidRDefault="000C20A0" w:rsidP="000C20A0">
      <w:pPr>
        <w:rPr>
          <w:rStyle w:val="IntenseEmphasis"/>
          <w:b w:val="0"/>
        </w:rPr>
      </w:pPr>
      <w:r>
        <w:rPr>
          <w:rStyle w:val="IntenseEmphasis"/>
          <w:b w:val="0"/>
        </w:rPr>
        <w:t xml:space="preserve">The acquisition of a </w:t>
      </w:r>
      <w:r w:rsidR="000F4F91">
        <w:rPr>
          <w:rStyle w:val="IntenseEmphasis"/>
          <w:b w:val="0"/>
        </w:rPr>
        <w:t>17</w:t>
      </w:r>
      <w:r>
        <w:rPr>
          <w:rStyle w:val="IntenseEmphasis"/>
          <w:b w:val="0"/>
        </w:rPr>
        <w:t xml:space="preserve"> foot road widening parcel by the County off the front of the lot that was created in </w:t>
      </w:r>
      <w:r w:rsidR="00947BA5">
        <w:rPr>
          <w:rStyle w:val="IntenseEmphasis"/>
          <w:b w:val="0"/>
        </w:rPr>
        <w:t>1991</w:t>
      </w:r>
      <w:r>
        <w:rPr>
          <w:rStyle w:val="IntenseEmphasis"/>
          <w:b w:val="0"/>
        </w:rPr>
        <w:t xml:space="preserve"> will alter the dimensions of this parcel and effectively break the “Once a Severance, Always a Severance Rule” ensuring that the original lot created in </w:t>
      </w:r>
      <w:r w:rsidR="00540863">
        <w:rPr>
          <w:rStyle w:val="IntenseEmphasis"/>
          <w:b w:val="0"/>
        </w:rPr>
        <w:t>1991</w:t>
      </w:r>
      <w:r>
        <w:rPr>
          <w:rStyle w:val="IntenseEmphasis"/>
          <w:b w:val="0"/>
        </w:rPr>
        <w:t xml:space="preserve"> cannot be sold, transferred, or mortgaged separate from the lot addition parcel.</w:t>
      </w:r>
    </w:p>
    <w:p w14:paraId="183A5DF0" w14:textId="7341042B" w:rsidR="000C20A0" w:rsidRDefault="000C20A0" w:rsidP="000C20A0">
      <w:pPr>
        <w:rPr>
          <w:rStyle w:val="IntenseEmphasis"/>
          <w:b w:val="0"/>
        </w:rPr>
      </w:pPr>
      <w:r w:rsidRPr="00E204FD">
        <w:rPr>
          <w:rStyle w:val="IntenseEmphasis"/>
          <w:b w:val="0"/>
        </w:rPr>
        <w:t>It</w:t>
      </w:r>
      <w:r w:rsidRPr="00F33FE5">
        <w:rPr>
          <w:rStyle w:val="IntenseEmphasis"/>
          <w:b w:val="0"/>
        </w:rPr>
        <w:t xml:space="preserve"> is recommended that the County </w:t>
      </w:r>
      <w:r w:rsidR="00F33FE5" w:rsidRPr="00F33FE5">
        <w:rPr>
          <w:rStyle w:val="IntenseEmphasis"/>
          <w:b w:val="0"/>
        </w:rPr>
        <w:t xml:space="preserve">acquire Part </w:t>
      </w:r>
      <w:r w:rsidR="00C9380E">
        <w:rPr>
          <w:rStyle w:val="IntenseEmphasis"/>
          <w:b w:val="0"/>
        </w:rPr>
        <w:t>5</w:t>
      </w:r>
      <w:r w:rsidR="00F33FE5" w:rsidRPr="00F33FE5">
        <w:rPr>
          <w:rStyle w:val="IntenseEmphasis"/>
          <w:b w:val="0"/>
        </w:rPr>
        <w:t xml:space="preserve"> on </w:t>
      </w:r>
      <w:r w:rsidR="00C9380E">
        <w:rPr>
          <w:rStyle w:val="IntenseEmphasis"/>
          <w:b w:val="0"/>
        </w:rPr>
        <w:t>Plan 16R-</w:t>
      </w:r>
      <w:r w:rsidR="00540863">
        <w:rPr>
          <w:rStyle w:val="IntenseEmphasis"/>
          <w:b w:val="0"/>
        </w:rPr>
        <w:t>10010</w:t>
      </w:r>
      <w:r w:rsidR="00C9380E">
        <w:rPr>
          <w:rStyle w:val="IntenseEmphasis"/>
          <w:b w:val="0"/>
        </w:rPr>
        <w:t xml:space="preserve"> </w:t>
      </w:r>
      <w:r w:rsidRPr="00F33FE5">
        <w:rPr>
          <w:rStyle w:val="IntenseEmphasis"/>
          <w:b w:val="0"/>
        </w:rPr>
        <w:t>and join it to the abutting county road network.</w:t>
      </w:r>
      <w:r w:rsidR="00F33FE5">
        <w:rPr>
          <w:rStyle w:val="IntenseEmphasis"/>
          <w:b w:val="0"/>
        </w:rPr>
        <w:t xml:space="preserve"> </w:t>
      </w:r>
      <w:r w:rsidR="00E9650E">
        <w:rPr>
          <w:rStyle w:val="IntenseEmphasis"/>
          <w:b w:val="0"/>
        </w:rPr>
        <w:t xml:space="preserve"> </w:t>
      </w:r>
      <w:r w:rsidR="00F33FE5" w:rsidRPr="00540863">
        <w:rPr>
          <w:rStyle w:val="IntenseEmphasis"/>
          <w:b w:val="0"/>
        </w:rPr>
        <w:t>The acquisition of th</w:t>
      </w:r>
      <w:r w:rsidR="00C9380E" w:rsidRPr="00540863">
        <w:rPr>
          <w:rStyle w:val="IntenseEmphasis"/>
          <w:b w:val="0"/>
        </w:rPr>
        <w:t>is</w:t>
      </w:r>
      <w:r w:rsidR="00F33FE5" w:rsidRPr="00540863">
        <w:rPr>
          <w:rStyle w:val="IntenseEmphasis"/>
          <w:b w:val="0"/>
        </w:rPr>
        <w:t xml:space="preserve"> parcel will result in a 30.5 </w:t>
      </w:r>
      <w:proofErr w:type="spellStart"/>
      <w:r w:rsidR="00F33FE5" w:rsidRPr="00540863">
        <w:rPr>
          <w:rStyle w:val="IntenseEmphasis"/>
          <w:b w:val="0"/>
        </w:rPr>
        <w:t>metre</w:t>
      </w:r>
      <w:proofErr w:type="spellEnd"/>
      <w:r w:rsidR="00F33FE5" w:rsidRPr="00540863">
        <w:rPr>
          <w:rStyle w:val="IntenseEmphasis"/>
          <w:b w:val="0"/>
        </w:rPr>
        <w:t xml:space="preserve"> (100 foot) right-of-way width</w:t>
      </w:r>
      <w:r w:rsidR="00F33FE5">
        <w:rPr>
          <w:rStyle w:val="IntenseEmphasis"/>
          <w:b w:val="0"/>
        </w:rPr>
        <w:t xml:space="preserve"> in this </w:t>
      </w:r>
      <w:r w:rsidR="00E9650E">
        <w:rPr>
          <w:rStyle w:val="IntenseEmphasis"/>
          <w:b w:val="0"/>
        </w:rPr>
        <w:t>area</w:t>
      </w:r>
      <w:r w:rsidR="00F33FE5">
        <w:rPr>
          <w:rStyle w:val="IntenseEmphasis"/>
          <w:b w:val="0"/>
        </w:rPr>
        <w:t xml:space="preserve"> of Grey Road </w:t>
      </w:r>
      <w:r w:rsidR="00C9380E">
        <w:rPr>
          <w:rStyle w:val="IntenseEmphasis"/>
          <w:b w:val="0"/>
        </w:rPr>
        <w:t>170</w:t>
      </w:r>
      <w:r w:rsidR="000F4F91">
        <w:rPr>
          <w:rStyle w:val="IntenseEmphasis"/>
          <w:b w:val="0"/>
        </w:rPr>
        <w:t>,</w:t>
      </w:r>
      <w:r w:rsidR="00F33FE5">
        <w:rPr>
          <w:rStyle w:val="IntenseEmphasis"/>
          <w:b w:val="0"/>
        </w:rPr>
        <w:t xml:space="preserve"> which supports the County’s </w:t>
      </w:r>
      <w:r w:rsidR="00E9650E">
        <w:rPr>
          <w:rStyle w:val="IntenseEmphasis"/>
          <w:b w:val="0"/>
        </w:rPr>
        <w:t>long-term</w:t>
      </w:r>
      <w:r w:rsidR="00F33FE5">
        <w:rPr>
          <w:rStyle w:val="IntenseEmphasis"/>
          <w:b w:val="0"/>
        </w:rPr>
        <w:t xml:space="preserve"> goal in accordance with the Transportation Master Plan.</w:t>
      </w:r>
    </w:p>
    <w:p w14:paraId="4328CFBB" w14:textId="77777777" w:rsidR="001E1628" w:rsidRPr="001E1628" w:rsidRDefault="001E1628" w:rsidP="001E1628">
      <w:pPr>
        <w:pStyle w:val="Heading2"/>
      </w:pPr>
      <w:r w:rsidRPr="001E1628">
        <w:t>Legal and Legislated Requirements</w:t>
      </w:r>
    </w:p>
    <w:p w14:paraId="4A2FF018" w14:textId="77777777" w:rsidR="000C20A0" w:rsidRPr="003676A9" w:rsidRDefault="000C20A0" w:rsidP="000C20A0">
      <w:pPr>
        <w:rPr>
          <w:rStyle w:val="IntenseEmphasis"/>
          <w:b w:val="0"/>
        </w:rPr>
      </w:pPr>
      <w:r>
        <w:rPr>
          <w:rStyle w:val="IntenseEmphasis"/>
          <w:b w:val="0"/>
        </w:rPr>
        <w:t xml:space="preserve">Section 50 (12) of the </w:t>
      </w:r>
      <w:r w:rsidRPr="009404A9">
        <w:rPr>
          <w:rStyle w:val="IntenseEmphasis"/>
          <w:b w:val="0"/>
          <w:i/>
        </w:rPr>
        <w:t>Planning Act</w:t>
      </w:r>
      <w:r>
        <w:rPr>
          <w:rStyle w:val="IntenseEmphasis"/>
          <w:b w:val="0"/>
        </w:rPr>
        <w:t xml:space="preserve"> states that “where a parcel of land is conveyed by way of a deed or transfer with a consent given under section 53, subsection (3) and (5) of this section do not apply to subsequent, or other transactions involving, the identical parcel of land unless the council or the Minster, as the case may be, in giving consent, stipulates either that subsection (3) or subsection (5) shall apply to any such subsequent conveyance or transaction.” </w:t>
      </w:r>
    </w:p>
    <w:p w14:paraId="34660522" w14:textId="77777777" w:rsidR="001E1628" w:rsidRPr="001E1628" w:rsidRDefault="001E1628" w:rsidP="001E1628">
      <w:pPr>
        <w:pStyle w:val="Heading2"/>
      </w:pPr>
      <w:r w:rsidRPr="001E1628">
        <w:lastRenderedPageBreak/>
        <w:t>Financial and Resource Implications</w:t>
      </w:r>
    </w:p>
    <w:p w14:paraId="3684C72F" w14:textId="77777777" w:rsidR="006F48BE" w:rsidRPr="00AC047B" w:rsidRDefault="006F48BE" w:rsidP="006F48BE">
      <w:pPr>
        <w:rPr>
          <w:rStyle w:val="IntenseEmphasis"/>
          <w:b w:val="0"/>
          <w:sz w:val="22"/>
          <w:szCs w:val="22"/>
        </w:rPr>
      </w:pPr>
      <w:r w:rsidRPr="006F48BE">
        <w:rPr>
          <w:rStyle w:val="IntenseEmphasis"/>
          <w:b w:val="0"/>
        </w:rPr>
        <w:t xml:space="preserve">The legal costs to finalize the transfer are estimated to be </w:t>
      </w:r>
      <w:r w:rsidRPr="00AC047B">
        <w:rPr>
          <w:rStyle w:val="IntenseEmphasis"/>
          <w:b w:val="0"/>
        </w:rPr>
        <w:t>under $1,000.00.</w:t>
      </w:r>
    </w:p>
    <w:p w14:paraId="1EDA305D" w14:textId="23C19EF4" w:rsidR="006F48BE" w:rsidRPr="006F48BE" w:rsidRDefault="006F48BE" w:rsidP="006F48BE">
      <w:pPr>
        <w:rPr>
          <w:rStyle w:val="IntenseEmphasis"/>
          <w:b w:val="0"/>
        </w:rPr>
      </w:pPr>
      <w:r w:rsidRPr="00AC047B">
        <w:rPr>
          <w:rStyle w:val="IntenseEmphasis"/>
          <w:b w:val="0"/>
        </w:rPr>
        <w:t>The anticipated total cost of the acquisition is expected to be approximately $1,000.00.</w:t>
      </w:r>
    </w:p>
    <w:p w14:paraId="72E0EE9E" w14:textId="6EBD0772" w:rsidR="00F33FE5" w:rsidRPr="00EF2B1E" w:rsidRDefault="00F33FE5" w:rsidP="000C20A0">
      <w:pPr>
        <w:rPr>
          <w:rStyle w:val="IntenseEmphasis"/>
          <w:b w:val="0"/>
        </w:rPr>
      </w:pPr>
      <w:r>
        <w:rPr>
          <w:rStyle w:val="IntenseEmphasis"/>
          <w:b w:val="0"/>
        </w:rPr>
        <w:t xml:space="preserve">The funding will come from the Transportation Services </w:t>
      </w:r>
      <w:r w:rsidR="000F4F91">
        <w:rPr>
          <w:rStyle w:val="IntenseEmphasis"/>
          <w:b w:val="0"/>
        </w:rPr>
        <w:t>L</w:t>
      </w:r>
      <w:r>
        <w:rPr>
          <w:rStyle w:val="IntenseEmphasis"/>
          <w:b w:val="0"/>
        </w:rPr>
        <w:t xml:space="preserve">and </w:t>
      </w:r>
      <w:r w:rsidR="000F4F91">
        <w:rPr>
          <w:rStyle w:val="IntenseEmphasis"/>
          <w:b w:val="0"/>
        </w:rPr>
        <w:t>A</w:t>
      </w:r>
      <w:r>
        <w:rPr>
          <w:rStyle w:val="IntenseEmphasis"/>
          <w:b w:val="0"/>
        </w:rPr>
        <w:t>cquisition budget.</w:t>
      </w:r>
    </w:p>
    <w:p w14:paraId="4A308D68" w14:textId="77777777" w:rsidR="001E1628" w:rsidRPr="001E1628" w:rsidRDefault="001E1628" w:rsidP="001E1628">
      <w:pPr>
        <w:pStyle w:val="Heading2"/>
      </w:pPr>
      <w:r w:rsidRPr="001E1628">
        <w:t>Relevant Consultation</w:t>
      </w:r>
    </w:p>
    <w:p w14:paraId="53067FE0" w14:textId="77777777" w:rsidR="000F4F91" w:rsidRDefault="00001D1C" w:rsidP="00E77E3B">
      <w:pPr>
        <w:spacing w:after="0" w:line="240" w:lineRule="auto"/>
        <w:rPr>
          <w:bCs/>
        </w:rPr>
      </w:pPr>
      <w:sdt>
        <w:sdtPr>
          <w:rPr>
            <w:bCs/>
          </w:rPr>
          <w:id w:val="1286392043"/>
          <w14:checkbox>
            <w14:checked w14:val="1"/>
            <w14:checkedState w14:val="2612" w14:font="MS Gothic"/>
            <w14:uncheckedState w14:val="2610" w14:font="MS Gothic"/>
          </w14:checkbox>
        </w:sdtPr>
        <w:sdtEndPr/>
        <w:sdtContent>
          <w:r w:rsidR="000C20A0">
            <w:rPr>
              <w:rFonts w:ascii="MS Gothic" w:eastAsia="MS Gothic" w:hAnsi="MS Gothic" w:hint="eastAsia"/>
              <w:bCs/>
            </w:rPr>
            <w:t>☒</w:t>
          </w:r>
        </w:sdtContent>
      </w:sdt>
      <w:r w:rsidR="001E1628" w:rsidRPr="001E1628">
        <w:rPr>
          <w:bCs/>
        </w:rPr>
        <w:tab/>
        <w:t>Internal</w:t>
      </w:r>
    </w:p>
    <w:p w14:paraId="43AD9E48" w14:textId="6EAB3A88" w:rsidR="001E1628" w:rsidRPr="001E1628" w:rsidRDefault="00DC642D" w:rsidP="00E77E3B">
      <w:pPr>
        <w:spacing w:after="120" w:line="240" w:lineRule="auto"/>
        <w:ind w:left="720"/>
        <w:rPr>
          <w:bCs/>
        </w:rPr>
      </w:pPr>
      <w:r>
        <w:rPr>
          <w:bCs/>
        </w:rPr>
        <w:t>Clerks Department</w:t>
      </w:r>
    </w:p>
    <w:p w14:paraId="456EAE37" w14:textId="77777777" w:rsidR="000F4F91" w:rsidRDefault="00001D1C" w:rsidP="00E77E3B">
      <w:pPr>
        <w:spacing w:after="0" w:line="240" w:lineRule="auto"/>
        <w:rPr>
          <w:bCs/>
        </w:rPr>
      </w:pPr>
      <w:sdt>
        <w:sdtPr>
          <w:rPr>
            <w:bCs/>
          </w:rPr>
          <w:id w:val="1886829321"/>
          <w14:checkbox>
            <w14:checked w14:val="1"/>
            <w14:checkedState w14:val="2612" w14:font="MS Gothic"/>
            <w14:uncheckedState w14:val="2610" w14:font="MS Gothic"/>
          </w14:checkbox>
        </w:sdtPr>
        <w:sdtEndPr/>
        <w:sdtContent>
          <w:r w:rsidR="000C20A0">
            <w:rPr>
              <w:rFonts w:ascii="MS Gothic" w:eastAsia="MS Gothic" w:hAnsi="MS Gothic" w:hint="eastAsia"/>
              <w:bCs/>
            </w:rPr>
            <w:t>☒</w:t>
          </w:r>
        </w:sdtContent>
      </w:sdt>
      <w:r w:rsidR="001E1628" w:rsidRPr="001E1628">
        <w:rPr>
          <w:bCs/>
        </w:rPr>
        <w:tab/>
        <w:t>External</w:t>
      </w:r>
    </w:p>
    <w:p w14:paraId="5BC70187" w14:textId="1D770F29" w:rsidR="000C20A0" w:rsidRPr="001E1628" w:rsidRDefault="00C9380E" w:rsidP="00E77E3B">
      <w:pPr>
        <w:spacing w:after="120" w:line="240" w:lineRule="auto"/>
        <w:ind w:left="720"/>
        <w:rPr>
          <w:bCs/>
        </w:rPr>
      </w:pPr>
      <w:r w:rsidRPr="006F48BE">
        <w:rPr>
          <w:bCs/>
        </w:rPr>
        <w:t>Alan Wilford</w:t>
      </w:r>
      <w:r w:rsidR="000C20A0" w:rsidRPr="006F48BE">
        <w:rPr>
          <w:bCs/>
        </w:rPr>
        <w:t>, Lawyer</w:t>
      </w:r>
      <w:r w:rsidR="000C20A0">
        <w:rPr>
          <w:bCs/>
        </w:rPr>
        <w:br/>
        <w:t>Property Owner</w:t>
      </w:r>
    </w:p>
    <w:p w14:paraId="26573FCE" w14:textId="77777777" w:rsidR="001E1628" w:rsidRPr="001E1628" w:rsidRDefault="001E1628" w:rsidP="001E1628">
      <w:pPr>
        <w:pStyle w:val="Heading3"/>
      </w:pPr>
      <w:r w:rsidRPr="001E1628">
        <w:t xml:space="preserve">Appendices and Attachments </w:t>
      </w:r>
    </w:p>
    <w:p w14:paraId="6F2E2D27" w14:textId="249D8020" w:rsidR="001E1628" w:rsidRPr="00903BDA" w:rsidRDefault="000C20A0" w:rsidP="001E1628">
      <w:pPr>
        <w:spacing w:after="0"/>
        <w:rPr>
          <w:bCs/>
        </w:rPr>
      </w:pPr>
      <w:r w:rsidRPr="00903BDA">
        <w:rPr>
          <w:bCs/>
        </w:rPr>
        <w:t xml:space="preserve">Location </w:t>
      </w:r>
      <w:r w:rsidR="000F4F91">
        <w:rPr>
          <w:bCs/>
        </w:rPr>
        <w:t>M</w:t>
      </w:r>
      <w:r w:rsidRPr="00903BDA">
        <w:rPr>
          <w:bCs/>
        </w:rPr>
        <w:t>ap</w:t>
      </w:r>
      <w:r w:rsidRPr="00903BDA">
        <w:rPr>
          <w:bCs/>
        </w:rPr>
        <w:br/>
        <w:t>Plan</w:t>
      </w:r>
      <w:r w:rsidR="000C4182" w:rsidRPr="000C4182">
        <w:t xml:space="preserve"> 16R-</w:t>
      </w:r>
      <w:r w:rsidR="006F48BE">
        <w:t>10010</w:t>
      </w:r>
    </w:p>
    <w:p w14:paraId="794EA41C" w14:textId="58EE076A" w:rsidR="000C20A0" w:rsidRPr="00903BDA" w:rsidRDefault="000C20A0" w:rsidP="001E1628">
      <w:pPr>
        <w:spacing w:after="0"/>
        <w:rPr>
          <w:bCs/>
        </w:rPr>
      </w:pPr>
      <w:r w:rsidRPr="00903BDA">
        <w:rPr>
          <w:bCs/>
        </w:rPr>
        <w:t xml:space="preserve">Grey Road </w:t>
      </w:r>
      <w:r w:rsidR="00C9380E">
        <w:rPr>
          <w:bCs/>
        </w:rPr>
        <w:t>170</w:t>
      </w:r>
      <w:r w:rsidRPr="00903BDA">
        <w:rPr>
          <w:bCs/>
        </w:rPr>
        <w:t xml:space="preserve"> Road Widening Acquisition </w:t>
      </w:r>
      <w:r w:rsidR="00903BDA" w:rsidRPr="00903BDA">
        <w:rPr>
          <w:bCs/>
        </w:rPr>
        <w:t>Agreement</w:t>
      </w:r>
    </w:p>
    <w:p w14:paraId="7C1E9232" w14:textId="77777777" w:rsidR="00B95E0C" w:rsidRDefault="00B95E0C" w:rsidP="001E1628">
      <w:pPr>
        <w:spacing w:before="240"/>
        <w:sectPr w:rsidR="00B95E0C" w:rsidSect="001E1628">
          <w:footerReference w:type="default" r:id="rId9"/>
          <w:footerReference w:type="first" r:id="rId10"/>
          <w:type w:val="continuous"/>
          <w:pgSz w:w="12240" w:h="15840" w:code="1"/>
          <w:pgMar w:top="1008" w:right="1440" w:bottom="1440" w:left="1440" w:header="720" w:footer="720" w:gutter="0"/>
          <w:cols w:space="720"/>
          <w:docGrid w:linePitch="360"/>
        </w:sectPr>
      </w:pPr>
    </w:p>
    <w:p w14:paraId="6D0052DD" w14:textId="77777777" w:rsidR="00B95E0C" w:rsidRDefault="00B95E0C" w:rsidP="001E1628">
      <w:pPr>
        <w:spacing w:before="240"/>
        <w:sectPr w:rsidR="00B95E0C" w:rsidSect="001E1628">
          <w:type w:val="continuous"/>
          <w:pgSz w:w="12240" w:h="15840" w:code="1"/>
          <w:pgMar w:top="1008" w:right="1440" w:bottom="1440" w:left="1440" w:header="720" w:footer="720" w:gutter="0"/>
          <w:cols w:space="720"/>
          <w:docGrid w:linePitch="360"/>
        </w:sectPr>
      </w:pPr>
    </w:p>
    <w:p w14:paraId="3D690ECC" w14:textId="23FABF20" w:rsidR="00B95E0C" w:rsidRPr="00FD6997" w:rsidRDefault="00B95E0C" w:rsidP="00FD6997">
      <w:pPr>
        <w:pStyle w:val="Heading3"/>
        <w:jc w:val="center"/>
      </w:pPr>
      <w:r w:rsidRPr="00FD6997">
        <w:lastRenderedPageBreak/>
        <w:t xml:space="preserve">Location </w:t>
      </w:r>
      <w:r w:rsidR="000F4F91" w:rsidRPr="00FD6997">
        <w:t>M</w:t>
      </w:r>
      <w:r w:rsidRPr="00FD6997">
        <w:t>ap</w:t>
      </w:r>
    </w:p>
    <w:p w14:paraId="18502499" w14:textId="77777777" w:rsidR="00B95E0C" w:rsidRDefault="00C47DDA" w:rsidP="00B95E0C">
      <w:pPr>
        <w:tabs>
          <w:tab w:val="left" w:pos="9300"/>
        </w:tabs>
      </w:pPr>
      <w:r w:rsidRPr="00C47DDA">
        <w:rPr>
          <w:noProof/>
        </w:rPr>
        <w:drawing>
          <wp:inline distT="0" distB="0" distL="0" distR="0" wp14:anchorId="09F1BC60" wp14:editId="05E6908B">
            <wp:extent cx="5943600" cy="4840605"/>
            <wp:effectExtent l="0" t="0" r="0" b="0"/>
            <wp:docPr id="4" name="Picture 4"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40605"/>
                    </a:xfrm>
                    <a:prstGeom prst="rect">
                      <a:avLst/>
                    </a:prstGeom>
                    <a:noFill/>
                    <a:ln>
                      <a:noFill/>
                    </a:ln>
                  </pic:spPr>
                </pic:pic>
              </a:graphicData>
            </a:graphic>
          </wp:inline>
        </w:drawing>
      </w:r>
    </w:p>
    <w:p w14:paraId="7A009568" w14:textId="77777777" w:rsidR="00FD6997" w:rsidRDefault="00FD6997" w:rsidP="00B95E0C">
      <w:pPr>
        <w:tabs>
          <w:tab w:val="left" w:pos="9300"/>
        </w:tabs>
      </w:pPr>
    </w:p>
    <w:p w14:paraId="1707A085" w14:textId="6060BB5C" w:rsidR="00FD6997" w:rsidRPr="00B95E0C" w:rsidRDefault="00FD6997" w:rsidP="00B95E0C">
      <w:pPr>
        <w:tabs>
          <w:tab w:val="left" w:pos="9300"/>
        </w:tabs>
        <w:sectPr w:rsidR="00FD6997" w:rsidRPr="00B95E0C" w:rsidSect="00B95E0C">
          <w:headerReference w:type="even" r:id="rId12"/>
          <w:headerReference w:type="default" r:id="rId13"/>
          <w:headerReference w:type="first" r:id="rId14"/>
          <w:pgSz w:w="12240" w:h="15840" w:code="1"/>
          <w:pgMar w:top="1008" w:right="1440" w:bottom="1440" w:left="1440" w:header="720" w:footer="720" w:gutter="0"/>
          <w:cols w:space="720"/>
          <w:docGrid w:linePitch="360"/>
        </w:sectPr>
      </w:pPr>
    </w:p>
    <w:p w14:paraId="59515832" w14:textId="4FC2D00E" w:rsidR="00252955" w:rsidRDefault="00B95E0C" w:rsidP="00FD6997">
      <w:pPr>
        <w:pStyle w:val="Heading2"/>
      </w:pPr>
      <w:r w:rsidRPr="000C4182">
        <w:lastRenderedPageBreak/>
        <w:t>Plan</w:t>
      </w:r>
      <w:r w:rsidR="00C9380E">
        <w:t xml:space="preserve"> 16R-</w:t>
      </w:r>
      <w:r w:rsidR="00252955">
        <w:t>10010</w:t>
      </w:r>
    </w:p>
    <w:p w14:paraId="12CD39E4" w14:textId="77777777" w:rsidR="00C47DDA" w:rsidRDefault="00C47DDA" w:rsidP="00252955">
      <w:r w:rsidRPr="00C47DDA">
        <w:rPr>
          <w:noProof/>
        </w:rPr>
        <w:drawing>
          <wp:inline distT="0" distB="0" distL="0" distR="0" wp14:anchorId="5D61A822" wp14:editId="60985A08">
            <wp:extent cx="13979039" cy="4488180"/>
            <wp:effectExtent l="0" t="0" r="3810" b="7620"/>
            <wp:docPr id="2" name="Picture 2" descr="Plan 16R-10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04224" cy="4496266"/>
                    </a:xfrm>
                    <a:prstGeom prst="rect">
                      <a:avLst/>
                    </a:prstGeom>
                  </pic:spPr>
                </pic:pic>
              </a:graphicData>
            </a:graphic>
          </wp:inline>
        </w:drawing>
      </w:r>
    </w:p>
    <w:p w14:paraId="3DE801E5" w14:textId="77777777" w:rsidR="00FD6997" w:rsidRDefault="00FD6997" w:rsidP="00252955"/>
    <w:p w14:paraId="4F2829C4" w14:textId="6632976C" w:rsidR="00FD6997" w:rsidRPr="00252955" w:rsidRDefault="00FD6997" w:rsidP="00252955">
      <w:pPr>
        <w:sectPr w:rsidR="00FD6997" w:rsidRPr="00252955" w:rsidSect="00B95E0C">
          <w:footerReference w:type="default" r:id="rId16"/>
          <w:pgSz w:w="24480" w:h="15840" w:orient="landscape" w:code="17"/>
          <w:pgMar w:top="1440" w:right="1008" w:bottom="1440" w:left="1440" w:header="720" w:footer="720" w:gutter="0"/>
          <w:cols w:space="720"/>
          <w:docGrid w:linePitch="360"/>
        </w:sectPr>
      </w:pPr>
    </w:p>
    <w:p w14:paraId="48942546" w14:textId="5AAB122E" w:rsidR="00E204FD" w:rsidRDefault="00E204FD" w:rsidP="002E4675">
      <w:pPr>
        <w:pStyle w:val="Heading2"/>
        <w:spacing w:after="480"/>
        <w:jc w:val="center"/>
      </w:pPr>
      <w:r w:rsidRPr="00903BDA">
        <w:lastRenderedPageBreak/>
        <w:t xml:space="preserve">Grey Road </w:t>
      </w:r>
      <w:r w:rsidR="00C9380E">
        <w:t>170</w:t>
      </w:r>
      <w:r w:rsidRPr="00903BDA">
        <w:t xml:space="preserve"> Road Widening Acquisition Agreement</w:t>
      </w:r>
    </w:p>
    <w:p w14:paraId="035DD36B" w14:textId="168BA0ED" w:rsidR="009650B3" w:rsidRPr="009650B3" w:rsidRDefault="009650B3" w:rsidP="00EC25E6">
      <w:pPr>
        <w:spacing w:after="120" w:line="240" w:lineRule="auto"/>
        <w:rPr>
          <w:rFonts w:eastAsia="Calibri" w:cs="Times New Roman"/>
          <w:bCs/>
        </w:rPr>
      </w:pPr>
      <w:r w:rsidRPr="00EC25E6">
        <w:rPr>
          <w:rFonts w:eastAsia="Calibri" w:cs="Times New Roman"/>
          <w:bCs/>
        </w:rPr>
        <w:t>This Agreement</w:t>
      </w:r>
      <w:r w:rsidR="00EC25E6">
        <w:rPr>
          <w:rFonts w:eastAsia="Calibri" w:cs="Times New Roman"/>
          <w:bCs/>
        </w:rPr>
        <w:t xml:space="preserve"> </w:t>
      </w:r>
      <w:r w:rsidRPr="009650B3">
        <w:rPr>
          <w:rFonts w:eastAsia="Calibri" w:cs="Times New Roman"/>
          <w:bCs/>
        </w:rPr>
        <w:t>made in duplicate this</w:t>
      </w:r>
      <w:bookmarkStart w:id="2" w:name="Text12"/>
      <w:r w:rsidRPr="009650B3">
        <w:rPr>
          <w:rFonts w:eastAsia="Calibri" w:cs="Times New Roman"/>
          <w:bCs/>
        </w:rPr>
        <w:t xml:space="preserve"> </w:t>
      </w:r>
      <w:bookmarkEnd w:id="2"/>
      <w:r w:rsidRPr="009650B3">
        <w:rPr>
          <w:rFonts w:eastAsia="Calibri" w:cs="Times New Roman"/>
          <w:bCs/>
        </w:rPr>
        <w:t>________ day of ________________, 20____</w:t>
      </w:r>
      <w:r w:rsidR="00EC25E6">
        <w:rPr>
          <w:rFonts w:eastAsia="Calibri" w:cs="Times New Roman"/>
          <w:bCs/>
        </w:rPr>
        <w:t xml:space="preserve">, </w:t>
      </w:r>
      <w:r w:rsidRPr="009650B3">
        <w:rPr>
          <w:rFonts w:eastAsia="Calibri" w:cs="Times New Roman"/>
          <w:bCs/>
        </w:rPr>
        <w:t>between:</w:t>
      </w:r>
    </w:p>
    <w:p w14:paraId="41845FC0" w14:textId="77777777" w:rsidR="009650B3" w:rsidRPr="00EC25E6" w:rsidRDefault="009650B3" w:rsidP="00FD6997">
      <w:pPr>
        <w:spacing w:after="0"/>
        <w:jc w:val="center"/>
        <w:rPr>
          <w:rFonts w:eastAsia="Calibri" w:cs="Times New Roman"/>
          <w:b/>
          <w:bCs/>
          <w:u w:val="single"/>
        </w:rPr>
      </w:pPr>
      <w:r w:rsidRPr="00EC25E6">
        <w:rPr>
          <w:rFonts w:eastAsia="Calibri" w:cs="Times New Roman"/>
          <w:b/>
          <w:bCs/>
          <w:u w:val="single"/>
        </w:rPr>
        <w:t>The Corporation of the County of Grey</w:t>
      </w:r>
    </w:p>
    <w:p w14:paraId="0E5A2537" w14:textId="77777777" w:rsidR="009650B3" w:rsidRPr="009650B3" w:rsidRDefault="009650B3" w:rsidP="009650B3">
      <w:pPr>
        <w:jc w:val="center"/>
        <w:rPr>
          <w:rFonts w:eastAsia="Calibri" w:cs="Times New Roman"/>
          <w:b/>
          <w:bCs/>
        </w:rPr>
      </w:pPr>
      <w:r w:rsidRPr="009650B3">
        <w:rPr>
          <w:rFonts w:eastAsia="Calibri" w:cs="Times New Roman"/>
          <w:bCs/>
        </w:rPr>
        <w:t>(herein called the “County”)</w:t>
      </w:r>
    </w:p>
    <w:p w14:paraId="33526801" w14:textId="77777777" w:rsidR="009650B3" w:rsidRPr="009650B3" w:rsidRDefault="009650B3" w:rsidP="009650B3">
      <w:pPr>
        <w:jc w:val="center"/>
        <w:rPr>
          <w:rFonts w:eastAsia="Calibri" w:cs="Times New Roman"/>
          <w:bCs/>
        </w:rPr>
      </w:pPr>
      <w:r w:rsidRPr="009650B3">
        <w:rPr>
          <w:rFonts w:eastAsia="Calibri" w:cs="Times New Roman"/>
          <w:bCs/>
        </w:rPr>
        <w:t>- and-</w:t>
      </w:r>
    </w:p>
    <w:p w14:paraId="7B6CAA9A" w14:textId="77777777" w:rsidR="009650B3" w:rsidRPr="00EC25E6" w:rsidRDefault="009650B3" w:rsidP="00FD6997">
      <w:pPr>
        <w:spacing w:after="0"/>
        <w:jc w:val="center"/>
        <w:rPr>
          <w:rFonts w:eastAsia="Calibri" w:cs="Times New Roman"/>
          <w:bCs/>
          <w:u w:val="single"/>
        </w:rPr>
      </w:pPr>
      <w:r w:rsidRPr="00EC25E6">
        <w:rPr>
          <w:rFonts w:eastAsia="Calibri" w:cs="Times New Roman"/>
          <w:b/>
          <w:bCs/>
          <w:u w:val="single"/>
        </w:rPr>
        <w:fldChar w:fldCharType="begin">
          <w:ffData>
            <w:name w:val=""/>
            <w:enabled/>
            <w:calcOnExit w:val="0"/>
            <w:textInput/>
          </w:ffData>
        </w:fldChar>
      </w:r>
      <w:r w:rsidRPr="00EC25E6">
        <w:rPr>
          <w:rFonts w:eastAsia="Calibri" w:cs="Times New Roman"/>
          <w:b/>
          <w:bCs/>
          <w:u w:val="single"/>
        </w:rPr>
        <w:instrText xml:space="preserve"> FORMTEXT </w:instrText>
      </w:r>
      <w:r w:rsidRPr="00EC25E6">
        <w:rPr>
          <w:rFonts w:eastAsia="Calibri" w:cs="Times New Roman"/>
          <w:b/>
          <w:bCs/>
          <w:u w:val="single"/>
        </w:rPr>
      </w:r>
      <w:r w:rsidRPr="00EC25E6">
        <w:rPr>
          <w:rFonts w:eastAsia="Calibri" w:cs="Times New Roman"/>
          <w:b/>
          <w:bCs/>
          <w:u w:val="single"/>
        </w:rPr>
        <w:fldChar w:fldCharType="separate"/>
      </w:r>
      <w:r w:rsidRPr="00EC25E6">
        <w:rPr>
          <w:rFonts w:eastAsia="Calibri" w:cs="Times New Roman"/>
          <w:b/>
          <w:bCs/>
          <w:noProof/>
          <w:u w:val="single"/>
        </w:rPr>
        <w:t>Tammy Jean Wilder and Todd Jason Wilder</w:t>
      </w:r>
      <w:r w:rsidRPr="00EC25E6">
        <w:rPr>
          <w:rFonts w:eastAsia="Calibri" w:cs="Times New Roman"/>
          <w:b/>
          <w:bCs/>
          <w:u w:val="single"/>
        </w:rPr>
        <w:fldChar w:fldCharType="end"/>
      </w:r>
      <w:r w:rsidRPr="00EC25E6">
        <w:rPr>
          <w:rFonts w:eastAsia="Calibri" w:cs="Times New Roman"/>
          <w:b/>
          <w:bCs/>
          <w:u w:val="single"/>
        </w:rPr>
        <w:t xml:space="preserve"> </w:t>
      </w:r>
    </w:p>
    <w:p w14:paraId="12D9D7A6" w14:textId="77777777" w:rsidR="009650B3" w:rsidRPr="009650B3" w:rsidRDefault="009650B3" w:rsidP="009650B3">
      <w:pPr>
        <w:spacing w:after="360"/>
        <w:jc w:val="center"/>
        <w:rPr>
          <w:rFonts w:eastAsia="Calibri" w:cs="Times New Roman"/>
          <w:bCs/>
        </w:rPr>
      </w:pPr>
      <w:r w:rsidRPr="009650B3">
        <w:rPr>
          <w:rFonts w:eastAsia="Calibri" w:cs="Times New Roman"/>
          <w:bCs/>
        </w:rPr>
        <w:t>(herein called the “Owner”)</w:t>
      </w:r>
    </w:p>
    <w:p w14:paraId="4A32BEF7" w14:textId="77777777" w:rsidR="009650B3" w:rsidRPr="009650B3" w:rsidRDefault="009650B3" w:rsidP="009650B3">
      <w:pPr>
        <w:rPr>
          <w:rFonts w:eastAsia="Calibri" w:cs="Times New Roman"/>
          <w:bCs/>
        </w:rPr>
      </w:pPr>
      <w:r w:rsidRPr="009650B3">
        <w:rPr>
          <w:rFonts w:eastAsia="Calibri" w:cs="Times New Roman"/>
          <w:b/>
          <w:bCs/>
        </w:rPr>
        <w:t>WHEREAS</w:t>
      </w:r>
      <w:r w:rsidRPr="009650B3">
        <w:rPr>
          <w:rFonts w:eastAsia="Calibri" w:cs="Times New Roman"/>
          <w:bCs/>
        </w:rPr>
        <w:t xml:space="preserve"> the Owner owns a parcel of land situated in</w:t>
      </w:r>
      <w:r w:rsidRPr="009650B3">
        <w:rPr>
          <w:rFonts w:eastAsia="Calibri" w:cs="Times New Roman"/>
          <w:b/>
          <w:bCs/>
        </w:rPr>
        <w:t xml:space="preserve"> </w:t>
      </w:r>
      <w:r w:rsidRPr="009650B3">
        <w:rPr>
          <w:rFonts w:eastAsia="Calibri" w:cs="Times New Roman"/>
          <w:bCs/>
        </w:rPr>
        <w:t>the</w:t>
      </w:r>
      <w:r w:rsidRPr="009650B3">
        <w:rPr>
          <w:rFonts w:eastAsia="Calibri" w:cs="Times New Roman"/>
          <w:b/>
          <w:bCs/>
        </w:rPr>
        <w:t xml:space="preserve"> </w:t>
      </w:r>
      <w:r w:rsidRPr="009650B3">
        <w:rPr>
          <w:rFonts w:eastAsia="Calibri" w:cs="Times New Roman"/>
          <w:bCs/>
        </w:rPr>
        <w:t xml:space="preserve">Township of </w:t>
      </w:r>
      <w:r w:rsidRPr="009650B3">
        <w:rPr>
          <w:rFonts w:eastAsia="Calibri" w:cs="Times New Roman"/>
          <w:bCs/>
        </w:rPr>
        <w:fldChar w:fldCharType="begin">
          <w:ffData>
            <w:name w:val="Text2"/>
            <w:enabled/>
            <w:calcOnExit w:val="0"/>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Georgian Bluffs</w:t>
      </w:r>
      <w:r w:rsidRPr="009650B3">
        <w:rPr>
          <w:rFonts w:eastAsia="Calibri" w:cs="Times New Roman"/>
          <w:bCs/>
        </w:rPr>
        <w:fldChar w:fldCharType="end"/>
      </w:r>
      <w:r w:rsidRPr="009650B3">
        <w:rPr>
          <w:rFonts w:eastAsia="Calibri" w:cs="Times New Roman"/>
          <w:bCs/>
        </w:rPr>
        <w:t xml:space="preserve"> in the County of Grey; adjacent to County Road </w:t>
      </w:r>
      <w:r w:rsidRPr="009650B3">
        <w:rPr>
          <w:rFonts w:eastAsia="Calibri" w:cs="Times New Roman"/>
          <w:bCs/>
        </w:rPr>
        <w:fldChar w:fldCharType="begin">
          <w:ffData>
            <w:name w:val="Text3"/>
            <w:enabled/>
            <w:calcOnExit w:val="0"/>
            <w:textInput/>
          </w:ffData>
        </w:fldChar>
      </w:r>
      <w:bookmarkStart w:id="3" w:name="Text3"/>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170</w:t>
      </w:r>
      <w:r w:rsidRPr="009650B3">
        <w:rPr>
          <w:rFonts w:eastAsia="Calibri" w:cs="Times New Roman"/>
          <w:bCs/>
        </w:rPr>
        <w:fldChar w:fldCharType="end"/>
      </w:r>
      <w:bookmarkEnd w:id="3"/>
      <w:r w:rsidRPr="009650B3">
        <w:rPr>
          <w:rFonts w:eastAsia="Calibri" w:cs="Times New Roman"/>
          <w:bCs/>
        </w:rPr>
        <w:t>.</w:t>
      </w:r>
    </w:p>
    <w:p w14:paraId="17D4E465" w14:textId="77777777" w:rsidR="009650B3" w:rsidRPr="009650B3" w:rsidRDefault="009650B3" w:rsidP="009650B3">
      <w:pPr>
        <w:rPr>
          <w:rFonts w:eastAsia="Calibri" w:cs="Times New Roman"/>
          <w:bCs/>
        </w:rPr>
      </w:pPr>
      <w:r w:rsidRPr="009650B3">
        <w:rPr>
          <w:rFonts w:eastAsia="Calibri" w:cs="Times New Roman"/>
          <w:b/>
          <w:bCs/>
        </w:rPr>
        <w:t>AND WHEREAS</w:t>
      </w:r>
      <w:r w:rsidRPr="009650B3">
        <w:rPr>
          <w:rFonts w:eastAsia="Calibri" w:cs="Times New Roman"/>
          <w:bCs/>
        </w:rPr>
        <w:t xml:space="preserve"> the County wants to </w:t>
      </w:r>
      <w:proofErr w:type="gramStart"/>
      <w:r w:rsidRPr="009650B3">
        <w:rPr>
          <w:rFonts w:eastAsia="Calibri" w:cs="Times New Roman"/>
          <w:bCs/>
        </w:rPr>
        <w:t>purchase</w:t>
      </w:r>
      <w:proofErr w:type="gramEnd"/>
      <w:r w:rsidRPr="009650B3">
        <w:rPr>
          <w:rFonts w:eastAsia="Calibri" w:cs="Times New Roman"/>
          <w:bCs/>
        </w:rPr>
        <w:t xml:space="preserve"> and the Owner is agreeable to sell part of the land for road widening purposes.</w:t>
      </w:r>
    </w:p>
    <w:p w14:paraId="5D4AC849" w14:textId="77777777" w:rsidR="009650B3" w:rsidRPr="009650B3" w:rsidRDefault="009650B3" w:rsidP="009650B3">
      <w:pPr>
        <w:rPr>
          <w:rFonts w:eastAsia="Calibri" w:cs="Times New Roman"/>
          <w:bCs/>
        </w:rPr>
      </w:pPr>
      <w:r w:rsidRPr="009650B3">
        <w:rPr>
          <w:rFonts w:eastAsia="Calibri" w:cs="Times New Roman"/>
          <w:bCs/>
        </w:rPr>
        <w:t xml:space="preserve">The Owner and the County agree that in consideration of the rounded sum of </w:t>
      </w:r>
      <w:r w:rsidRPr="009650B3">
        <w:rPr>
          <w:rFonts w:eastAsia="Calibri" w:cs="Times New Roman"/>
          <w:b/>
          <w:bCs/>
        </w:rPr>
        <w:fldChar w:fldCharType="begin">
          <w:ffData>
            <w:name w:val="Text2"/>
            <w:enabled/>
            <w:calcOnExit w:val="0"/>
            <w:textInput/>
          </w:ffData>
        </w:fldChar>
      </w:r>
      <w:r w:rsidRPr="009650B3">
        <w:rPr>
          <w:rFonts w:eastAsia="Calibri" w:cs="Times New Roman"/>
          <w:b/>
          <w:bCs/>
        </w:rPr>
        <w:instrText xml:space="preserve"> FORMTEXT </w:instrText>
      </w:r>
      <w:r w:rsidRPr="009650B3">
        <w:rPr>
          <w:rFonts w:eastAsia="Calibri" w:cs="Times New Roman"/>
          <w:b/>
          <w:bCs/>
        </w:rPr>
      </w:r>
      <w:r w:rsidRPr="009650B3">
        <w:rPr>
          <w:rFonts w:eastAsia="Calibri" w:cs="Times New Roman"/>
          <w:b/>
          <w:bCs/>
        </w:rPr>
        <w:fldChar w:fldCharType="separate"/>
      </w:r>
      <w:r w:rsidRPr="009650B3">
        <w:rPr>
          <w:rFonts w:eastAsia="Calibri" w:cs="Times New Roman"/>
          <w:b/>
          <w:bCs/>
          <w:noProof/>
        </w:rPr>
        <w:t>$2.00,</w:t>
      </w:r>
      <w:r w:rsidRPr="009650B3">
        <w:rPr>
          <w:rFonts w:eastAsia="Calibri" w:cs="Times New Roman"/>
          <w:b/>
          <w:bCs/>
        </w:rPr>
        <w:fldChar w:fldCharType="end"/>
      </w:r>
      <w:r w:rsidRPr="009650B3">
        <w:rPr>
          <w:rFonts w:eastAsia="Calibri" w:cs="Times New Roman"/>
          <w:bCs/>
        </w:rPr>
        <w:t xml:space="preserve"> receipt and sufficiency of which is hereby acknowledged, the parties, intending to be legally bound, agree as follows:</w:t>
      </w:r>
    </w:p>
    <w:p w14:paraId="18F2914F" w14:textId="77777777" w:rsidR="009650B3" w:rsidRPr="009650B3" w:rsidRDefault="009650B3" w:rsidP="009650B3">
      <w:pPr>
        <w:rPr>
          <w:rFonts w:eastAsia="Calibri" w:cs="Times New Roman"/>
          <w:bCs/>
        </w:rPr>
      </w:pPr>
      <w:r w:rsidRPr="009650B3">
        <w:rPr>
          <w:rFonts w:eastAsia="Calibri" w:cs="Times New Roman"/>
          <w:bCs/>
        </w:rPr>
        <w:t xml:space="preserve">The Owner agrees to transfer to the County, a parcel of land legally described as </w:t>
      </w:r>
      <w:r w:rsidRPr="009650B3">
        <w:rPr>
          <w:rFonts w:eastAsia="Calibri" w:cs="Times New Roman"/>
          <w:bCs/>
        </w:rPr>
        <w:fldChar w:fldCharType="begin">
          <w:ffData>
            <w:name w:val=""/>
            <w:enabled/>
            <w:calcOnExit w:val="0"/>
            <w:textInput>
              <w:default w:val="area of __ metres squared more or less, and equaling __ hectares and is legally described as Part ___ of Lot ___, Concession ___"/>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Part of Lot 18 Concession 12</w:t>
      </w:r>
      <w:r w:rsidRPr="009650B3">
        <w:rPr>
          <w:rFonts w:eastAsia="Calibri" w:cs="Times New Roman"/>
          <w:bCs/>
        </w:rPr>
        <w:fldChar w:fldCharType="end"/>
      </w:r>
      <w:r w:rsidRPr="009650B3">
        <w:rPr>
          <w:rFonts w:eastAsia="Calibri" w:cs="Times New Roman"/>
          <w:bCs/>
        </w:rPr>
        <w:t xml:space="preserve">, Township  of </w:t>
      </w:r>
      <w:r w:rsidRPr="009650B3">
        <w:rPr>
          <w:rFonts w:eastAsia="Calibri" w:cs="Times New Roman"/>
          <w:bCs/>
        </w:rPr>
        <w:fldChar w:fldCharType="begin">
          <w:ffData>
            <w:name w:val="Text2"/>
            <w:enabled/>
            <w:calcOnExit w:val="0"/>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Georgian Bluffs</w:t>
      </w:r>
      <w:r w:rsidRPr="009650B3">
        <w:rPr>
          <w:rFonts w:eastAsia="Calibri" w:cs="Times New Roman"/>
          <w:bCs/>
        </w:rPr>
        <w:fldChar w:fldCharType="end"/>
      </w:r>
      <w:r w:rsidRPr="009650B3">
        <w:rPr>
          <w:rFonts w:eastAsia="Calibri" w:cs="Times New Roman"/>
          <w:bCs/>
        </w:rPr>
        <w:t xml:space="preserve"> (in the former geographic Township of </w:t>
      </w:r>
      <w:r w:rsidRPr="009650B3">
        <w:rPr>
          <w:rFonts w:eastAsia="Calibri" w:cs="Times New Roman"/>
          <w:bCs/>
        </w:rPr>
        <w:fldChar w:fldCharType="begin">
          <w:ffData>
            <w:name w:val="Text2"/>
            <w:enabled/>
            <w:calcOnExit w:val="0"/>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Keppel</w:t>
      </w:r>
      <w:r w:rsidRPr="009650B3">
        <w:rPr>
          <w:rFonts w:eastAsia="Calibri" w:cs="Times New Roman"/>
          <w:bCs/>
        </w:rPr>
        <w:fldChar w:fldCharType="end"/>
      </w:r>
      <w:r w:rsidRPr="009650B3">
        <w:rPr>
          <w:rFonts w:eastAsia="Calibri" w:cs="Times New Roman"/>
          <w:bCs/>
        </w:rPr>
        <w:t xml:space="preserve">), in the County of Grey depicted as Part(s) </w:t>
      </w:r>
      <w:r w:rsidRPr="009650B3">
        <w:rPr>
          <w:rFonts w:eastAsia="Calibri" w:cs="Times New Roman"/>
          <w:bCs/>
        </w:rPr>
        <w:fldChar w:fldCharType="begin">
          <w:ffData>
            <w:name w:val=""/>
            <w:enabled/>
            <w:calcOnExit w:val="0"/>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5</w:t>
      </w:r>
      <w:r w:rsidRPr="009650B3">
        <w:rPr>
          <w:rFonts w:eastAsia="Calibri" w:cs="Times New Roman"/>
          <w:bCs/>
        </w:rPr>
        <w:fldChar w:fldCharType="end"/>
      </w:r>
      <w:r w:rsidRPr="009650B3">
        <w:rPr>
          <w:rFonts w:eastAsia="Calibri" w:cs="Times New Roman"/>
          <w:bCs/>
        </w:rPr>
        <w:t xml:space="preserve"> on Reference Plan No. </w:t>
      </w:r>
      <w:r w:rsidRPr="009650B3">
        <w:rPr>
          <w:rFonts w:eastAsia="Calibri" w:cs="Times New Roman"/>
          <w:bCs/>
        </w:rPr>
        <w:fldChar w:fldCharType="begin">
          <w:ffData>
            <w:name w:val="Text2"/>
            <w:enabled/>
            <w:calcOnExit w:val="0"/>
            <w:textInput/>
          </w:ffData>
        </w:fldChar>
      </w:r>
      <w:r w:rsidRPr="009650B3">
        <w:rPr>
          <w:rFonts w:eastAsia="Calibri" w:cs="Times New Roman"/>
          <w:bCs/>
        </w:rPr>
        <w:instrText xml:space="preserve"> FORMTEXT </w:instrText>
      </w:r>
      <w:r w:rsidRPr="009650B3">
        <w:rPr>
          <w:rFonts w:eastAsia="Calibri" w:cs="Times New Roman"/>
          <w:bCs/>
        </w:rPr>
      </w:r>
      <w:r w:rsidRPr="009650B3">
        <w:rPr>
          <w:rFonts w:eastAsia="Calibri" w:cs="Times New Roman"/>
          <w:bCs/>
        </w:rPr>
        <w:fldChar w:fldCharType="separate"/>
      </w:r>
      <w:r w:rsidRPr="009650B3">
        <w:rPr>
          <w:rFonts w:eastAsia="Calibri" w:cs="Times New Roman"/>
          <w:bCs/>
          <w:noProof/>
        </w:rPr>
        <w:t>16R-10010</w:t>
      </w:r>
      <w:r w:rsidRPr="009650B3">
        <w:rPr>
          <w:rFonts w:eastAsia="Calibri" w:cs="Times New Roman"/>
          <w:bCs/>
        </w:rPr>
        <w:fldChar w:fldCharType="end"/>
      </w:r>
      <w:r w:rsidRPr="009650B3">
        <w:rPr>
          <w:rFonts w:eastAsia="Calibri" w:cs="Times New Roman"/>
          <w:bCs/>
        </w:rPr>
        <w:t xml:space="preserve"> (the “Purchased Parcel”).</w:t>
      </w:r>
    </w:p>
    <w:p w14:paraId="2CBD2FAF" w14:textId="77777777" w:rsidR="009650B3" w:rsidRPr="009650B3" w:rsidRDefault="009650B3" w:rsidP="009650B3">
      <w:pPr>
        <w:rPr>
          <w:rFonts w:eastAsia="Calibri" w:cs="Times New Roman"/>
          <w:bCs/>
        </w:rPr>
      </w:pPr>
      <w:r w:rsidRPr="009650B3">
        <w:rPr>
          <w:rFonts w:eastAsia="Calibri" w:cs="Times New Roman"/>
          <w:bCs/>
        </w:rPr>
        <w:t>Additional Details:  None</w:t>
      </w:r>
    </w:p>
    <w:p w14:paraId="70DB17F3" w14:textId="77777777" w:rsidR="009650B3" w:rsidRPr="009650B3" w:rsidRDefault="009650B3" w:rsidP="009650B3">
      <w:pPr>
        <w:rPr>
          <w:rFonts w:eastAsia="Calibri" w:cs="Times New Roman"/>
          <w:bCs/>
        </w:rPr>
      </w:pPr>
      <w:r w:rsidRPr="009650B3">
        <w:rPr>
          <w:rFonts w:eastAsia="Calibri" w:cs="Times New Roman"/>
          <w:bCs/>
        </w:rPr>
        <w:t>The Owner agrees to provide the County with a valid Transfer/Deed of Land conveying unencumbered title to, and releasing all claims in respect of, the Purchased Parcel and the additional lands. The Transfer/Deed of Land shall be prepared at the expense of the County by its lawyers. The County agrees to cover all legal costs of the seller associated with this transfer.</w:t>
      </w:r>
    </w:p>
    <w:p w14:paraId="2032BB24" w14:textId="77777777" w:rsidR="009650B3" w:rsidRPr="009650B3" w:rsidRDefault="009650B3" w:rsidP="009650B3">
      <w:pPr>
        <w:rPr>
          <w:rFonts w:eastAsia="Calibri" w:cs="Times New Roman"/>
          <w:bCs/>
        </w:rPr>
      </w:pPr>
      <w:r w:rsidRPr="009650B3">
        <w:rPr>
          <w:rFonts w:eastAsia="Calibri" w:cs="Times New Roman"/>
          <w:bCs/>
        </w:rPr>
        <w:t xml:space="preserve">The Owner shall obtain release of any existing mortgage or other encumbrance on the purchased parcel and additional lands. The Owner represents that spousal consent is not necessary to this transaction under the provisions of the Family Law Act (Ontario), unless the Owner’s spouse has executed the consent below.  The Owner represents that the Owner is not a non-resident of Canada within the meaning of the </w:t>
      </w:r>
      <w:r w:rsidRPr="009650B3">
        <w:rPr>
          <w:rFonts w:eastAsia="Calibri" w:cs="Times New Roman"/>
          <w:bCs/>
          <w:i/>
          <w:iCs/>
        </w:rPr>
        <w:t>Income Tax Act.</w:t>
      </w:r>
    </w:p>
    <w:p w14:paraId="55422347" w14:textId="77777777" w:rsidR="009650B3" w:rsidRPr="009650B3" w:rsidRDefault="009650B3" w:rsidP="009650B3">
      <w:pPr>
        <w:rPr>
          <w:rFonts w:eastAsia="Calibri" w:cs="Times New Roman"/>
          <w:bCs/>
        </w:rPr>
      </w:pPr>
      <w:r w:rsidRPr="009650B3">
        <w:rPr>
          <w:rFonts w:eastAsia="Calibri" w:cs="Arial"/>
          <w:lang w:val="en-CA" w:eastAsia="en-CA"/>
        </w:rPr>
        <w:t xml:space="preserve">The obligation of the County to complete the transaction contemplated by this agreement shall be conditional upon County Council passing a motion approving the acquisition of the Purchased Parcel. </w:t>
      </w:r>
    </w:p>
    <w:p w14:paraId="65503468" w14:textId="77777777" w:rsidR="009650B3" w:rsidRPr="009650B3" w:rsidRDefault="009650B3" w:rsidP="009650B3">
      <w:pPr>
        <w:rPr>
          <w:rFonts w:eastAsia="Calibri" w:cs="Times New Roman"/>
          <w:bCs/>
        </w:rPr>
      </w:pPr>
      <w:r w:rsidRPr="009650B3">
        <w:rPr>
          <w:rFonts w:eastAsia="Calibri" w:cs="Times New Roman"/>
          <w:bCs/>
        </w:rPr>
        <w:t>The transaction shall be completed on or before a date specified by the County by notice sent to the Owner not less than 30 days prior to the specified completion date.</w:t>
      </w:r>
    </w:p>
    <w:p w14:paraId="50F75CE9" w14:textId="77777777" w:rsidR="009650B3" w:rsidRPr="009650B3" w:rsidRDefault="009650B3" w:rsidP="009650B3">
      <w:pPr>
        <w:rPr>
          <w:rFonts w:eastAsia="Calibri" w:cs="Times New Roman"/>
          <w:bCs/>
        </w:rPr>
      </w:pPr>
      <w:r w:rsidRPr="009650B3">
        <w:rPr>
          <w:rFonts w:eastAsia="Calibri" w:cs="Times New Roman"/>
          <w:bCs/>
        </w:rPr>
        <w:t>If this transaction is subject to Harmonized Sales Tax such tax shall be included in the purchase price.</w:t>
      </w:r>
    </w:p>
    <w:p w14:paraId="3CB43C66" w14:textId="77777777" w:rsidR="009650B3" w:rsidRPr="009650B3" w:rsidRDefault="009650B3" w:rsidP="009650B3">
      <w:pPr>
        <w:rPr>
          <w:rFonts w:eastAsia="Calibri" w:cs="Times New Roman"/>
          <w:bCs/>
        </w:rPr>
      </w:pPr>
      <w:r w:rsidRPr="009650B3">
        <w:rPr>
          <w:rFonts w:eastAsia="Calibri" w:cs="Times New Roman"/>
          <w:bCs/>
        </w:rPr>
        <w:t>The heirs, executors, administrators, successors in title and assigns of the Owner are bound by the terms of this agreement.</w:t>
      </w:r>
    </w:p>
    <w:p w14:paraId="4C12F9C4" w14:textId="77777777" w:rsidR="00EC25E6" w:rsidRDefault="00EC25E6">
      <w:pPr>
        <w:rPr>
          <w:rFonts w:eastAsia="Calibri" w:cs="Times New Roman"/>
          <w:bCs/>
        </w:rPr>
      </w:pPr>
      <w:r>
        <w:rPr>
          <w:rFonts w:eastAsia="Calibri" w:cs="Times New Roman"/>
          <w:bCs/>
        </w:rPr>
        <w:br w:type="page"/>
      </w:r>
    </w:p>
    <w:p w14:paraId="697DE227" w14:textId="05A95448" w:rsidR="009650B3" w:rsidRPr="009650B3" w:rsidRDefault="009650B3" w:rsidP="009650B3">
      <w:pPr>
        <w:rPr>
          <w:rFonts w:eastAsia="Calibri" w:cs="Times New Roman"/>
          <w:bCs/>
        </w:rPr>
      </w:pPr>
      <w:r w:rsidRPr="009650B3">
        <w:rPr>
          <w:rFonts w:eastAsia="Calibri" w:cs="Times New Roman"/>
          <w:bCs/>
        </w:rPr>
        <w:lastRenderedPageBreak/>
        <w:t>In witness, the parties have signed, sealed and delivered this agreement.</w:t>
      </w:r>
    </w:p>
    <w:p w14:paraId="1D59EEDA" w14:textId="77777777" w:rsidR="009650B3" w:rsidRPr="009650B3" w:rsidRDefault="009650B3" w:rsidP="009650B3">
      <w:pPr>
        <w:spacing w:before="360"/>
        <w:rPr>
          <w:rFonts w:eastAsia="Calibri" w:cs="Times New Roman"/>
          <w:b/>
          <w:bCs/>
          <w:sz w:val="28"/>
          <w:szCs w:val="28"/>
        </w:rPr>
      </w:pPr>
      <w:r w:rsidRPr="009650B3">
        <w:rPr>
          <w:rFonts w:eastAsia="Calibri" w:cs="Times New Roman"/>
          <w:b/>
          <w:bCs/>
          <w:sz w:val="28"/>
          <w:szCs w:val="28"/>
        </w:rPr>
        <w:t>The Corporation of the County of Grey</w:t>
      </w:r>
    </w:p>
    <w:p w14:paraId="1E2CDE44" w14:textId="77777777" w:rsidR="009650B3" w:rsidRPr="009650B3" w:rsidRDefault="009650B3" w:rsidP="009650B3">
      <w:pPr>
        <w:tabs>
          <w:tab w:val="left" w:pos="4320"/>
          <w:tab w:val="right" w:leader="underscore" w:pos="9360"/>
        </w:tabs>
        <w:spacing w:after="0"/>
        <w:rPr>
          <w:rFonts w:eastAsia="Calibri" w:cs="Times New Roman"/>
        </w:rPr>
      </w:pPr>
      <w:r w:rsidRPr="009650B3">
        <w:rPr>
          <w:rFonts w:eastAsia="Calibri" w:cs="Times New Roman"/>
        </w:rPr>
        <w:tab/>
      </w:r>
      <w:r w:rsidRPr="009650B3">
        <w:rPr>
          <w:rFonts w:eastAsia="Calibri" w:cs="Times New Roman"/>
        </w:rPr>
        <w:tab/>
      </w:r>
    </w:p>
    <w:p w14:paraId="3A578B9A" w14:textId="77777777" w:rsidR="009650B3" w:rsidRPr="009650B3" w:rsidRDefault="009650B3" w:rsidP="009650B3">
      <w:pPr>
        <w:tabs>
          <w:tab w:val="left" w:pos="4410"/>
          <w:tab w:val="right" w:leader="underscore" w:pos="9360"/>
        </w:tabs>
        <w:spacing w:after="360"/>
        <w:rPr>
          <w:rFonts w:eastAsia="Calibri" w:cs="Times New Roman"/>
        </w:rPr>
      </w:pPr>
      <w:r w:rsidRPr="009650B3">
        <w:rPr>
          <w:rFonts w:eastAsia="Calibri" w:cs="Times New Roman"/>
        </w:rPr>
        <w:t>(seal)</w:t>
      </w:r>
      <w:r w:rsidRPr="009650B3">
        <w:rPr>
          <w:rFonts w:eastAsia="Calibri" w:cs="Times New Roman"/>
        </w:rPr>
        <w:tab/>
      </w:r>
      <w:r w:rsidRPr="009650B3">
        <w:rPr>
          <w:rFonts w:eastAsia="Calibri" w:cs="Times New Roman"/>
        </w:rPr>
        <w:fldChar w:fldCharType="begin">
          <w:ffData>
            <w:name w:val="Text6"/>
            <w:enabled/>
            <w:calcOnExit w:val="0"/>
            <w:textInput/>
          </w:ffData>
        </w:fldChar>
      </w:r>
      <w:bookmarkStart w:id="4" w:name="Text6"/>
      <w:r w:rsidRPr="009650B3">
        <w:rPr>
          <w:rFonts w:eastAsia="Calibri" w:cs="Times New Roman"/>
        </w:rPr>
        <w:instrText xml:space="preserve"> FORMTEXT </w:instrText>
      </w:r>
      <w:r w:rsidRPr="009650B3">
        <w:rPr>
          <w:rFonts w:eastAsia="Calibri" w:cs="Times New Roman"/>
        </w:rPr>
      </w:r>
      <w:r w:rsidRPr="009650B3">
        <w:rPr>
          <w:rFonts w:eastAsia="Calibri" w:cs="Times New Roman"/>
        </w:rPr>
        <w:fldChar w:fldCharType="separate"/>
      </w:r>
      <w:r w:rsidRPr="009650B3">
        <w:rPr>
          <w:rFonts w:eastAsia="Calibri" w:cs="Times New Roman"/>
          <w:noProof/>
        </w:rPr>
        <w:t>Paul McQueen</w:t>
      </w:r>
      <w:r w:rsidRPr="009650B3">
        <w:rPr>
          <w:rFonts w:eastAsia="Calibri" w:cs="Times New Roman"/>
        </w:rPr>
        <w:fldChar w:fldCharType="end"/>
      </w:r>
      <w:bookmarkEnd w:id="4"/>
      <w:r w:rsidRPr="009650B3">
        <w:rPr>
          <w:rFonts w:eastAsia="Calibri" w:cs="Times New Roman"/>
        </w:rPr>
        <w:t>, Warden</w:t>
      </w:r>
    </w:p>
    <w:p w14:paraId="4B9375ED" w14:textId="77777777" w:rsidR="009650B3" w:rsidRPr="009650B3" w:rsidRDefault="009650B3" w:rsidP="009650B3">
      <w:pPr>
        <w:tabs>
          <w:tab w:val="left" w:pos="4320"/>
          <w:tab w:val="right" w:leader="underscore" w:pos="9360"/>
        </w:tabs>
        <w:spacing w:after="0"/>
        <w:rPr>
          <w:rFonts w:eastAsia="Calibri" w:cs="Times New Roman"/>
        </w:rPr>
      </w:pPr>
      <w:r w:rsidRPr="009650B3">
        <w:rPr>
          <w:rFonts w:eastAsia="Calibri" w:cs="Times New Roman"/>
        </w:rPr>
        <w:tab/>
      </w:r>
      <w:r w:rsidRPr="009650B3">
        <w:rPr>
          <w:rFonts w:eastAsia="Calibri" w:cs="Times New Roman"/>
        </w:rPr>
        <w:tab/>
      </w:r>
    </w:p>
    <w:p w14:paraId="731FDCE9" w14:textId="77777777" w:rsidR="009650B3" w:rsidRPr="009650B3" w:rsidRDefault="009650B3" w:rsidP="009650B3">
      <w:pPr>
        <w:tabs>
          <w:tab w:val="left" w:pos="4410"/>
          <w:tab w:val="right" w:leader="underscore" w:pos="9360"/>
        </w:tabs>
        <w:spacing w:after="360"/>
        <w:rPr>
          <w:rFonts w:eastAsia="Calibri" w:cs="Times New Roman"/>
        </w:rPr>
      </w:pPr>
      <w:r w:rsidRPr="009650B3">
        <w:rPr>
          <w:rFonts w:eastAsia="Calibri" w:cs="Times New Roman"/>
        </w:rPr>
        <w:tab/>
        <w:t>Heather Morrison, Clerk</w:t>
      </w:r>
    </w:p>
    <w:p w14:paraId="286AD25A" w14:textId="77777777" w:rsidR="009650B3" w:rsidRPr="009650B3" w:rsidRDefault="009650B3" w:rsidP="009650B3">
      <w:pPr>
        <w:tabs>
          <w:tab w:val="left" w:pos="4320"/>
          <w:tab w:val="right" w:leader="underscore" w:pos="9360"/>
        </w:tabs>
        <w:spacing w:after="0"/>
        <w:rPr>
          <w:rFonts w:eastAsia="Calibri" w:cs="Times New Roman"/>
        </w:rPr>
      </w:pPr>
      <w:r w:rsidRPr="009650B3">
        <w:rPr>
          <w:rFonts w:eastAsia="Calibri" w:cs="Times New Roman"/>
        </w:rPr>
        <w:t>______________________________</w:t>
      </w:r>
      <w:r w:rsidRPr="009650B3">
        <w:rPr>
          <w:rFonts w:eastAsia="Calibri" w:cs="Times New Roman"/>
        </w:rPr>
        <w:tab/>
      </w:r>
      <w:r w:rsidRPr="009650B3">
        <w:rPr>
          <w:rFonts w:eastAsia="Calibri" w:cs="Times New Roman"/>
        </w:rPr>
        <w:tab/>
        <w:t>(seal)</w:t>
      </w:r>
    </w:p>
    <w:p w14:paraId="25149C57" w14:textId="77777777" w:rsidR="009650B3" w:rsidRPr="009650B3" w:rsidRDefault="009650B3" w:rsidP="009650B3">
      <w:pPr>
        <w:tabs>
          <w:tab w:val="left" w:pos="4410"/>
          <w:tab w:val="right" w:leader="underscore" w:pos="9360"/>
        </w:tabs>
        <w:spacing w:after="360"/>
        <w:rPr>
          <w:rFonts w:eastAsia="Calibri" w:cs="Times New Roman"/>
        </w:rPr>
      </w:pPr>
      <w:r w:rsidRPr="009650B3">
        <w:rPr>
          <w:rFonts w:eastAsia="Calibri" w:cs="Times New Roman"/>
        </w:rPr>
        <w:t>Tammy Jean Wilder</w:t>
      </w:r>
      <w:r w:rsidRPr="009650B3">
        <w:rPr>
          <w:rFonts w:eastAsia="Calibri" w:cs="Times New Roman"/>
        </w:rPr>
        <w:tab/>
        <w:t>Witness</w:t>
      </w:r>
    </w:p>
    <w:p w14:paraId="22BE80B0" w14:textId="77777777" w:rsidR="009650B3" w:rsidRPr="009650B3" w:rsidRDefault="009650B3" w:rsidP="009650B3">
      <w:pPr>
        <w:tabs>
          <w:tab w:val="left" w:pos="4320"/>
          <w:tab w:val="right" w:leader="underscore" w:pos="9360"/>
        </w:tabs>
        <w:spacing w:after="0"/>
        <w:rPr>
          <w:rFonts w:eastAsia="Calibri" w:cs="Times New Roman"/>
        </w:rPr>
      </w:pPr>
      <w:r w:rsidRPr="009650B3">
        <w:rPr>
          <w:rFonts w:eastAsia="Calibri" w:cs="Times New Roman"/>
        </w:rPr>
        <w:t>______________________________</w:t>
      </w:r>
      <w:r w:rsidRPr="009650B3">
        <w:rPr>
          <w:rFonts w:eastAsia="Calibri" w:cs="Times New Roman"/>
        </w:rPr>
        <w:tab/>
      </w:r>
      <w:r w:rsidRPr="009650B3">
        <w:rPr>
          <w:rFonts w:eastAsia="Calibri" w:cs="Times New Roman"/>
        </w:rPr>
        <w:tab/>
        <w:t>(seal)</w:t>
      </w:r>
    </w:p>
    <w:p w14:paraId="015B9391" w14:textId="77777777" w:rsidR="009650B3" w:rsidRPr="009650B3" w:rsidRDefault="009650B3" w:rsidP="009650B3">
      <w:pPr>
        <w:tabs>
          <w:tab w:val="left" w:pos="4410"/>
          <w:tab w:val="right" w:leader="underscore" w:pos="9360"/>
        </w:tabs>
        <w:spacing w:after="360"/>
        <w:rPr>
          <w:rFonts w:eastAsia="Calibri" w:cs="Times New Roman"/>
        </w:rPr>
      </w:pPr>
      <w:r w:rsidRPr="009650B3">
        <w:rPr>
          <w:rFonts w:eastAsia="Calibri" w:cs="Times New Roman"/>
        </w:rPr>
        <w:t>Todd Jason Wilder</w:t>
      </w:r>
      <w:r w:rsidRPr="009650B3">
        <w:rPr>
          <w:rFonts w:eastAsia="Calibri" w:cs="Times New Roman"/>
        </w:rPr>
        <w:tab/>
        <w:t>Witness</w:t>
      </w:r>
    </w:p>
    <w:p w14:paraId="3138DAEC" w14:textId="77777777" w:rsidR="009650B3" w:rsidRPr="009650B3" w:rsidRDefault="009650B3" w:rsidP="009650B3">
      <w:pPr>
        <w:tabs>
          <w:tab w:val="left" w:pos="4410"/>
          <w:tab w:val="right" w:leader="underscore" w:pos="9360"/>
        </w:tabs>
        <w:spacing w:after="360"/>
        <w:rPr>
          <w:rFonts w:eastAsia="Calibri" w:cs="Times New Roman"/>
        </w:rPr>
      </w:pPr>
      <w:r w:rsidRPr="009650B3">
        <w:rPr>
          <w:rFonts w:eastAsia="Calibri" w:cs="Times New Roman"/>
        </w:rPr>
        <w:t>The undersigned Spouse of the Owner consents to the disposition agreed to herein pursuant to the provisions of the Family Law Act (Ontario), and hereby agree with the County that he or she will execute all necessary documents to complete the sale.</w:t>
      </w:r>
    </w:p>
    <w:p w14:paraId="6D3360E1" w14:textId="77777777" w:rsidR="009650B3" w:rsidRPr="009650B3" w:rsidRDefault="009650B3" w:rsidP="009650B3">
      <w:pPr>
        <w:tabs>
          <w:tab w:val="left" w:pos="4320"/>
          <w:tab w:val="right" w:leader="underscore" w:pos="9360"/>
        </w:tabs>
        <w:spacing w:after="0"/>
        <w:rPr>
          <w:rFonts w:eastAsia="Calibri" w:cs="Times New Roman"/>
        </w:rPr>
      </w:pPr>
      <w:r w:rsidRPr="009650B3">
        <w:rPr>
          <w:rFonts w:eastAsia="Calibri" w:cs="Times New Roman"/>
        </w:rPr>
        <w:t>______________________________</w:t>
      </w:r>
      <w:r w:rsidRPr="009650B3">
        <w:rPr>
          <w:rFonts w:eastAsia="Calibri" w:cs="Times New Roman"/>
        </w:rPr>
        <w:tab/>
      </w:r>
      <w:r w:rsidRPr="009650B3">
        <w:rPr>
          <w:rFonts w:eastAsia="Calibri" w:cs="Times New Roman"/>
        </w:rPr>
        <w:tab/>
        <w:t>(seal)</w:t>
      </w:r>
    </w:p>
    <w:p w14:paraId="6FE560AD" w14:textId="6F56EC5E" w:rsidR="009650B3" w:rsidRPr="009650B3" w:rsidRDefault="009650B3" w:rsidP="00FD6997">
      <w:pPr>
        <w:tabs>
          <w:tab w:val="left" w:pos="4410"/>
          <w:tab w:val="right" w:leader="underscore" w:pos="9360"/>
        </w:tabs>
        <w:spacing w:after="360"/>
      </w:pPr>
      <w:r w:rsidRPr="009650B3">
        <w:rPr>
          <w:rFonts w:eastAsia="Calibri" w:cs="Times New Roman"/>
        </w:rPr>
        <w:t>Spouse</w:t>
      </w:r>
      <w:r w:rsidRPr="009650B3">
        <w:rPr>
          <w:rFonts w:eastAsia="Calibri" w:cs="Times New Roman"/>
          <w:bCs/>
        </w:rPr>
        <w:t xml:space="preserve"> of Owner </w:t>
      </w:r>
      <w:r w:rsidRPr="009650B3">
        <w:rPr>
          <w:rFonts w:eastAsia="Calibri" w:cs="Times New Roman"/>
          <w:bCs/>
          <w:sz w:val="22"/>
          <w:szCs w:val="22"/>
        </w:rPr>
        <w:t>(if not property owner)</w:t>
      </w:r>
      <w:r w:rsidRPr="009650B3">
        <w:rPr>
          <w:rFonts w:eastAsia="Calibri" w:cs="Times New Roman"/>
          <w:bCs/>
        </w:rPr>
        <w:tab/>
        <w:t>Witness</w:t>
      </w:r>
    </w:p>
    <w:sectPr w:rsidR="009650B3" w:rsidRPr="009650B3" w:rsidSect="00B95E0C">
      <w:footerReference w:type="default" r:id="rId17"/>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B43D" w14:textId="77777777" w:rsidR="005D61F0" w:rsidRDefault="005D61F0" w:rsidP="00883D8D">
      <w:pPr>
        <w:spacing w:after="0" w:line="240" w:lineRule="auto"/>
      </w:pPr>
      <w:r>
        <w:separator/>
      </w:r>
    </w:p>
  </w:endnote>
  <w:endnote w:type="continuationSeparator" w:id="0">
    <w:p w14:paraId="6E17D9C0" w14:textId="77777777" w:rsidR="005D61F0" w:rsidRDefault="005D61F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36D3238C" w14:textId="72114E80" w:rsidR="00883D8D" w:rsidRPr="001E1628" w:rsidRDefault="000C20A0" w:rsidP="00E9650E">
        <w:pPr>
          <w:pStyle w:val="Footer"/>
          <w:jc w:val="center"/>
          <w:rPr>
            <w:sz w:val="22"/>
            <w:szCs w:val="22"/>
          </w:rPr>
        </w:pPr>
        <w:r>
          <w:rPr>
            <w:sz w:val="22"/>
            <w:szCs w:val="22"/>
          </w:rPr>
          <w:t>TR-CW-</w:t>
        </w:r>
        <w:r w:rsidR="008937B7">
          <w:rPr>
            <w:sz w:val="22"/>
            <w:szCs w:val="22"/>
          </w:rPr>
          <w:t>04</w:t>
        </w:r>
        <w:r>
          <w:rPr>
            <w:sz w:val="22"/>
            <w:szCs w:val="22"/>
          </w:rPr>
          <w:t>-</w:t>
        </w:r>
        <w:r w:rsidR="00C9380E">
          <w:rPr>
            <w:sz w:val="22"/>
            <w:szCs w:val="22"/>
          </w:rPr>
          <w:t>20</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C9380E">
          <w:rPr>
            <w:sz w:val="22"/>
            <w:szCs w:val="22"/>
          </w:rPr>
          <w:t>January 9, 20</w:t>
        </w:r>
        <w:r w:rsidR="008937B7">
          <w:rPr>
            <w:sz w:val="22"/>
            <w:szCs w:val="22"/>
          </w:rPr>
          <w:t>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62036"/>
      <w:docPartObj>
        <w:docPartGallery w:val="Page Numbers (Bottom of Page)"/>
        <w:docPartUnique/>
      </w:docPartObj>
    </w:sdtPr>
    <w:sdtEndPr>
      <w:rPr>
        <w:noProof/>
        <w:sz w:val="22"/>
        <w:szCs w:val="22"/>
      </w:rPr>
    </w:sdtEndPr>
    <w:sdtContent>
      <w:p w14:paraId="16B7E995" w14:textId="289C3B1C" w:rsidR="00FD6997" w:rsidRPr="001E1628" w:rsidRDefault="00FD6997" w:rsidP="00FD6997">
        <w:pPr>
          <w:pStyle w:val="Footer"/>
          <w:tabs>
            <w:tab w:val="clear" w:pos="4680"/>
            <w:tab w:val="clear" w:pos="9360"/>
            <w:tab w:val="center" w:pos="10800"/>
            <w:tab w:val="right" w:pos="22032"/>
          </w:tabs>
          <w:jc w:val="center"/>
          <w:rPr>
            <w:sz w:val="22"/>
            <w:szCs w:val="22"/>
          </w:rPr>
        </w:pPr>
        <w:r>
          <w:rPr>
            <w:sz w:val="22"/>
            <w:szCs w:val="22"/>
          </w:rPr>
          <w:t>TR-CW-04-20</w:t>
        </w:r>
        <w:r>
          <w:rPr>
            <w:sz w:val="22"/>
            <w:szCs w:val="22"/>
          </w:rPr>
          <w:tab/>
        </w:r>
        <w:r w:rsidRPr="001E1628">
          <w:rPr>
            <w:sz w:val="22"/>
            <w:szCs w:val="22"/>
          </w:rPr>
          <w:fldChar w:fldCharType="begin"/>
        </w:r>
        <w:r w:rsidRPr="001E1628">
          <w:rPr>
            <w:sz w:val="22"/>
            <w:szCs w:val="22"/>
          </w:rPr>
          <w:instrText xml:space="preserve"> PAGE   \* MERGEFORMAT </w:instrText>
        </w:r>
        <w:r w:rsidRPr="001E1628">
          <w:rPr>
            <w:sz w:val="22"/>
            <w:szCs w:val="22"/>
          </w:rPr>
          <w:fldChar w:fldCharType="separate"/>
        </w:r>
        <w:r w:rsidRPr="001E1628">
          <w:rPr>
            <w:noProof/>
            <w:sz w:val="22"/>
            <w:szCs w:val="22"/>
          </w:rPr>
          <w:t>2</w:t>
        </w:r>
        <w:r w:rsidRPr="001E1628">
          <w:rPr>
            <w:noProof/>
            <w:sz w:val="22"/>
            <w:szCs w:val="22"/>
          </w:rPr>
          <w:fldChar w:fldCharType="end"/>
        </w:r>
        <w:r>
          <w:rPr>
            <w:noProof/>
            <w:sz w:val="22"/>
            <w:szCs w:val="22"/>
          </w:rPr>
          <w:tab/>
        </w:r>
        <w:r>
          <w:rPr>
            <w:sz w:val="22"/>
            <w:szCs w:val="22"/>
          </w:rPr>
          <w:t>January 9,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094566"/>
      <w:docPartObj>
        <w:docPartGallery w:val="Page Numbers (Bottom of Page)"/>
        <w:docPartUnique/>
      </w:docPartObj>
    </w:sdtPr>
    <w:sdtEndPr>
      <w:rPr>
        <w:noProof/>
        <w:sz w:val="22"/>
        <w:szCs w:val="22"/>
      </w:rPr>
    </w:sdtEndPr>
    <w:sdtContent>
      <w:p w14:paraId="24375EBA" w14:textId="49A55297" w:rsidR="00FD6997" w:rsidRPr="001E1628" w:rsidRDefault="00FD6997" w:rsidP="00FD6997">
        <w:pPr>
          <w:pStyle w:val="Footer"/>
          <w:tabs>
            <w:tab w:val="clear" w:pos="4680"/>
            <w:tab w:val="center" w:pos="4320"/>
            <w:tab w:val="right" w:pos="22032"/>
          </w:tabs>
          <w:jc w:val="center"/>
          <w:rPr>
            <w:sz w:val="22"/>
            <w:szCs w:val="22"/>
          </w:rPr>
        </w:pPr>
        <w:r>
          <w:rPr>
            <w:sz w:val="22"/>
            <w:szCs w:val="22"/>
          </w:rPr>
          <w:t>TR-CW-04-20</w:t>
        </w:r>
        <w:r>
          <w:rPr>
            <w:sz w:val="22"/>
            <w:szCs w:val="22"/>
          </w:rPr>
          <w:tab/>
        </w:r>
        <w:r w:rsidRPr="001E1628">
          <w:rPr>
            <w:sz w:val="22"/>
            <w:szCs w:val="22"/>
          </w:rPr>
          <w:fldChar w:fldCharType="begin"/>
        </w:r>
        <w:r w:rsidRPr="001E1628">
          <w:rPr>
            <w:sz w:val="22"/>
            <w:szCs w:val="22"/>
          </w:rPr>
          <w:instrText xml:space="preserve"> PAGE   \* MERGEFORMAT </w:instrText>
        </w:r>
        <w:r w:rsidRPr="001E1628">
          <w:rPr>
            <w:sz w:val="22"/>
            <w:szCs w:val="22"/>
          </w:rPr>
          <w:fldChar w:fldCharType="separate"/>
        </w:r>
        <w:r w:rsidRPr="001E1628">
          <w:rPr>
            <w:noProof/>
            <w:sz w:val="22"/>
            <w:szCs w:val="22"/>
          </w:rPr>
          <w:t>2</w:t>
        </w:r>
        <w:r w:rsidRPr="001E1628">
          <w:rPr>
            <w:noProof/>
            <w:sz w:val="22"/>
            <w:szCs w:val="22"/>
          </w:rPr>
          <w:fldChar w:fldCharType="end"/>
        </w:r>
        <w:r>
          <w:rPr>
            <w:noProof/>
            <w:sz w:val="22"/>
            <w:szCs w:val="22"/>
          </w:rPr>
          <w:tab/>
        </w:r>
        <w:r>
          <w:rPr>
            <w:sz w:val="22"/>
            <w:szCs w:val="22"/>
          </w:rPr>
          <w:t>January 9,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7531" w14:textId="77777777" w:rsidR="005D61F0" w:rsidRDefault="005D61F0" w:rsidP="00883D8D">
      <w:pPr>
        <w:spacing w:after="0" w:line="240" w:lineRule="auto"/>
      </w:pPr>
      <w:r>
        <w:separator/>
      </w:r>
    </w:p>
  </w:footnote>
  <w:footnote w:type="continuationSeparator" w:id="0">
    <w:p w14:paraId="3FB3C6E7" w14:textId="77777777" w:rsidR="005D61F0" w:rsidRDefault="005D61F0"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9216" w14:textId="1681956D" w:rsidR="00E9650E" w:rsidRDefault="00E9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062E" w14:textId="044E3158" w:rsidR="00B95E0C" w:rsidRDefault="00B95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50A" w14:textId="655C06E6" w:rsidR="00E9650E" w:rsidRDefault="00E9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D1C"/>
    <w:rsid w:val="0003149D"/>
    <w:rsid w:val="00047A0A"/>
    <w:rsid w:val="00081FCF"/>
    <w:rsid w:val="000B7C11"/>
    <w:rsid w:val="000C20A0"/>
    <w:rsid w:val="000C4182"/>
    <w:rsid w:val="000F4F91"/>
    <w:rsid w:val="000F7550"/>
    <w:rsid w:val="00113FCB"/>
    <w:rsid w:val="001A673C"/>
    <w:rsid w:val="001D5EE7"/>
    <w:rsid w:val="001E1628"/>
    <w:rsid w:val="001F1D7C"/>
    <w:rsid w:val="001F3EC2"/>
    <w:rsid w:val="002051A6"/>
    <w:rsid w:val="00247CA8"/>
    <w:rsid w:val="00252955"/>
    <w:rsid w:val="002915BC"/>
    <w:rsid w:val="002C6064"/>
    <w:rsid w:val="002E4675"/>
    <w:rsid w:val="00302697"/>
    <w:rsid w:val="00386F45"/>
    <w:rsid w:val="00446A72"/>
    <w:rsid w:val="00457F2B"/>
    <w:rsid w:val="00464176"/>
    <w:rsid w:val="004942B7"/>
    <w:rsid w:val="004F083D"/>
    <w:rsid w:val="004F5F05"/>
    <w:rsid w:val="00540863"/>
    <w:rsid w:val="005572C0"/>
    <w:rsid w:val="005A360A"/>
    <w:rsid w:val="005D61F0"/>
    <w:rsid w:val="006563A9"/>
    <w:rsid w:val="006B4C34"/>
    <w:rsid w:val="006F48BE"/>
    <w:rsid w:val="007130A9"/>
    <w:rsid w:val="00737490"/>
    <w:rsid w:val="00737DAA"/>
    <w:rsid w:val="00762269"/>
    <w:rsid w:val="008668ED"/>
    <w:rsid w:val="00883D8D"/>
    <w:rsid w:val="008937B7"/>
    <w:rsid w:val="00895616"/>
    <w:rsid w:val="008B3AA7"/>
    <w:rsid w:val="008F77B3"/>
    <w:rsid w:val="00903BDA"/>
    <w:rsid w:val="00915156"/>
    <w:rsid w:val="00947BA5"/>
    <w:rsid w:val="00953DFC"/>
    <w:rsid w:val="009650B3"/>
    <w:rsid w:val="009A6E25"/>
    <w:rsid w:val="00A52D13"/>
    <w:rsid w:val="00A63DD6"/>
    <w:rsid w:val="00AA5E09"/>
    <w:rsid w:val="00AB2197"/>
    <w:rsid w:val="00AB3F83"/>
    <w:rsid w:val="00AC047B"/>
    <w:rsid w:val="00AC3A8B"/>
    <w:rsid w:val="00B330E3"/>
    <w:rsid w:val="00B64986"/>
    <w:rsid w:val="00B81B3F"/>
    <w:rsid w:val="00B86174"/>
    <w:rsid w:val="00B95E0C"/>
    <w:rsid w:val="00C2174D"/>
    <w:rsid w:val="00C33883"/>
    <w:rsid w:val="00C4210A"/>
    <w:rsid w:val="00C47DDA"/>
    <w:rsid w:val="00C9380E"/>
    <w:rsid w:val="00CE439D"/>
    <w:rsid w:val="00CF638C"/>
    <w:rsid w:val="00DC1FF0"/>
    <w:rsid w:val="00DC642D"/>
    <w:rsid w:val="00DC6976"/>
    <w:rsid w:val="00E204FD"/>
    <w:rsid w:val="00E32F4D"/>
    <w:rsid w:val="00E77E3B"/>
    <w:rsid w:val="00E9650E"/>
    <w:rsid w:val="00EA5A09"/>
    <w:rsid w:val="00EC25E6"/>
    <w:rsid w:val="00EF4136"/>
    <w:rsid w:val="00F33FE5"/>
    <w:rsid w:val="00F43E3B"/>
    <w:rsid w:val="00F810B1"/>
    <w:rsid w:val="00F97E5F"/>
    <w:rsid w:val="00FC76EE"/>
    <w:rsid w:val="00FD6997"/>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CommentReference">
    <w:name w:val="annotation reference"/>
    <w:basedOn w:val="DefaultParagraphFont"/>
    <w:uiPriority w:val="99"/>
    <w:semiHidden/>
    <w:unhideWhenUsed/>
    <w:rsid w:val="00C9380E"/>
    <w:rPr>
      <w:sz w:val="16"/>
      <w:szCs w:val="16"/>
    </w:rPr>
  </w:style>
  <w:style w:type="paragraph" w:styleId="CommentText">
    <w:name w:val="annotation text"/>
    <w:basedOn w:val="Normal"/>
    <w:link w:val="CommentTextChar"/>
    <w:uiPriority w:val="99"/>
    <w:semiHidden/>
    <w:unhideWhenUsed/>
    <w:rsid w:val="00C9380E"/>
    <w:pPr>
      <w:spacing w:line="240" w:lineRule="auto"/>
    </w:pPr>
    <w:rPr>
      <w:sz w:val="20"/>
      <w:szCs w:val="20"/>
    </w:rPr>
  </w:style>
  <w:style w:type="character" w:customStyle="1" w:styleId="CommentTextChar">
    <w:name w:val="Comment Text Char"/>
    <w:basedOn w:val="DefaultParagraphFont"/>
    <w:link w:val="CommentText"/>
    <w:uiPriority w:val="99"/>
    <w:semiHidden/>
    <w:rsid w:val="00C938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80E"/>
    <w:rPr>
      <w:b/>
      <w:bCs/>
    </w:rPr>
  </w:style>
  <w:style w:type="character" w:customStyle="1" w:styleId="CommentSubjectChar">
    <w:name w:val="Comment Subject Char"/>
    <w:basedOn w:val="CommentTextChar"/>
    <w:link w:val="CommentSubject"/>
    <w:uiPriority w:val="99"/>
    <w:semiHidden/>
    <w:rsid w:val="00C9380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85372766">
      <w:bodyDiv w:val="1"/>
      <w:marLeft w:val="0"/>
      <w:marRight w:val="0"/>
      <w:marTop w:val="0"/>
      <w:marBottom w:val="0"/>
      <w:divBdr>
        <w:top w:val="none" w:sz="0" w:space="0" w:color="auto"/>
        <w:left w:val="none" w:sz="0" w:space="0" w:color="auto"/>
        <w:bottom w:val="none" w:sz="0" w:space="0" w:color="auto"/>
        <w:right w:val="none" w:sz="0" w:space="0" w:color="auto"/>
      </w:divBdr>
    </w:div>
    <w:div w:id="1448506648">
      <w:bodyDiv w:val="1"/>
      <w:marLeft w:val="0"/>
      <w:marRight w:val="0"/>
      <w:marTop w:val="0"/>
      <w:marBottom w:val="0"/>
      <w:divBdr>
        <w:top w:val="none" w:sz="0" w:space="0" w:color="auto"/>
        <w:left w:val="none" w:sz="0" w:space="0" w:color="auto"/>
        <w:bottom w:val="none" w:sz="0" w:space="0" w:color="auto"/>
        <w:right w:val="none" w:sz="0" w:space="0" w:color="auto"/>
      </w:divBdr>
    </w:div>
    <w:div w:id="19172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2020</Year>
    <originator xmlns="e6cd7bd4-3f3e-4495-b8c9-139289cd76e6" xsi:nil="true"/>
    <policyNumber xmlns="e6cd7bd4-3f3e-4495-b8c9-139289cd76e6" xsi:nil="true"/>
    <documentNumber xmlns="e6cd7bd4-3f3e-4495-b8c9-139289cd76e6">GC_112569606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[2020-01-09 Committee of the Whole [8453]]</meetingId>
    <capitalProjectPriority xmlns="e6cd7bd4-3f3e-4495-b8c9-139289cd76e6" xsi:nil="true"/>
    <policyApprovalDate xmlns="e6cd7bd4-3f3e-4495-b8c9-139289cd76e6" xsi:nil="true"/>
    <NodeRef xmlns="e6cd7bd4-3f3e-4495-b8c9-139289cd76e6">36c5d81e-9a41-46d3-9386-681b8aacf90c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66FBD37-C194-48AE-BAE9-EA291CA76BD3}">
  <ds:schemaRefs>
    <ds:schemaRef ds:uri="http://schemas.openxmlformats.org/officeDocument/2006/bibliography"/>
  </ds:schemaRefs>
</ds:datastoreItem>
</file>

<file path=customXml/itemProps2.xml><?xml version="1.0" encoding="utf-8"?>
<ds:datastoreItem xmlns:ds="http://schemas.openxmlformats.org/officeDocument/2006/customXml" ds:itemID="{FB1EDF4F-D658-494A-AF92-584D16E3501C}"/>
</file>

<file path=customXml/itemProps3.xml><?xml version="1.0" encoding="utf-8"?>
<ds:datastoreItem xmlns:ds="http://schemas.openxmlformats.org/officeDocument/2006/customXml" ds:itemID="{8132958F-4172-4A81-B6DB-9921D8854B03}"/>
</file>

<file path=customXml/itemProps4.xml><?xml version="1.0" encoding="utf-8"?>
<ds:datastoreItem xmlns:ds="http://schemas.openxmlformats.org/officeDocument/2006/customXml" ds:itemID="{AC23DFE3-DDDD-4A30-B04A-D25B0A1F6E7B}"/>
</file>

<file path=customXml/itemProps5.xml><?xml version="1.0" encoding="utf-8"?>
<ds:datastoreItem xmlns:ds="http://schemas.openxmlformats.org/officeDocument/2006/customXml" ds:itemID="{E491C9BB-9B7F-4BFC-BC02-FB2B8EF91909}"/>
</file>

<file path=docProps/app.xml><?xml version="1.0" encoding="utf-8"?>
<Properties xmlns="http://schemas.openxmlformats.org/officeDocument/2006/extended-properties" xmlns:vt="http://schemas.openxmlformats.org/officeDocument/2006/docPropsVTypes">
  <Template>July 29 Arial Font</Template>
  <TotalTime>155</TotalTime>
  <Pages>7</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15</cp:revision>
  <cp:lastPrinted>2019-10-11T15:15:00Z</cp:lastPrinted>
  <dcterms:created xsi:type="dcterms:W3CDTF">2019-12-16T21:27:00Z</dcterms:created>
  <dcterms:modified xsi:type="dcterms:W3CDTF">2020-03-19T17:51:00Z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