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D923" w14:textId="2820C320" w:rsidR="00AC3A8B" w:rsidRDefault="00AA5E09" w:rsidP="00A63BE0">
      <w:pPr>
        <w:pStyle w:val="Title"/>
        <w:widowControl w:val="0"/>
        <w:spacing w:after="360"/>
        <w:contextualSpacing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516E8C" w14:paraId="4A18B44B" w14:textId="77777777" w:rsidTr="00B7545F">
        <w:trPr>
          <w:tblHeader/>
        </w:trPr>
        <w:tc>
          <w:tcPr>
            <w:tcW w:w="2898" w:type="dxa"/>
          </w:tcPr>
          <w:p w14:paraId="5824161E" w14:textId="278DA95D" w:rsidR="00516E8C" w:rsidRDefault="00516E8C" w:rsidP="00FF5EE5">
            <w:pPr>
              <w:spacing w:before="60" w:after="60"/>
            </w:pPr>
            <w:r w:rsidRPr="00FB686F">
              <w:rPr>
                <w:rStyle w:val="Strong"/>
              </w:rPr>
              <w:t>To</w:t>
            </w:r>
            <w:r w:rsidRPr="00FB686F">
              <w:t>:</w:t>
            </w:r>
          </w:p>
        </w:tc>
        <w:tc>
          <w:tcPr>
            <w:tcW w:w="6678" w:type="dxa"/>
          </w:tcPr>
          <w:p w14:paraId="7B717169" w14:textId="628DEAE1" w:rsidR="00516E8C" w:rsidRDefault="00516E8C" w:rsidP="0029466F">
            <w:pPr>
              <w:spacing w:before="60" w:after="60"/>
            </w:pPr>
            <w:r w:rsidRPr="00CF0CF7">
              <w:t xml:space="preserve">Warden </w:t>
            </w:r>
            <w:r w:rsidR="003A771C">
              <w:t>Hicks</w:t>
            </w:r>
            <w:r>
              <w:t xml:space="preserve"> </w:t>
            </w:r>
            <w:r w:rsidRPr="00CF0CF7">
              <w:t>and Members of Grey County</w:t>
            </w:r>
            <w:r>
              <w:t xml:space="preserve"> </w:t>
            </w:r>
            <w:r w:rsidRPr="00CF0CF7">
              <w:t>Council</w:t>
            </w:r>
          </w:p>
        </w:tc>
      </w:tr>
      <w:tr w:rsidR="00516E8C" w14:paraId="4E9413DC" w14:textId="77777777" w:rsidTr="00FF5EE5">
        <w:tc>
          <w:tcPr>
            <w:tcW w:w="2898" w:type="dxa"/>
          </w:tcPr>
          <w:p w14:paraId="080E3B49" w14:textId="2088AC47" w:rsidR="00516E8C" w:rsidRPr="00FB686F" w:rsidRDefault="00516E8C" w:rsidP="00FF5EE5">
            <w:pPr>
              <w:spacing w:before="60" w:after="60"/>
              <w:rPr>
                <w:rStyle w:val="Strong"/>
              </w:rPr>
            </w:pPr>
            <w:r>
              <w:rPr>
                <w:rStyle w:val="Strong"/>
              </w:rPr>
              <w:t>Committee Date</w:t>
            </w:r>
            <w:r w:rsidRPr="00CD64E9">
              <w:rPr>
                <w:b/>
              </w:rPr>
              <w:t>:</w:t>
            </w:r>
          </w:p>
        </w:tc>
        <w:tc>
          <w:tcPr>
            <w:tcW w:w="6678" w:type="dxa"/>
          </w:tcPr>
          <w:p w14:paraId="25051219" w14:textId="60F48925" w:rsidR="00516E8C" w:rsidRPr="00CF0CF7" w:rsidRDefault="00516E8C" w:rsidP="0029466F">
            <w:pPr>
              <w:spacing w:before="60" w:after="60"/>
            </w:pPr>
            <w:r>
              <w:t xml:space="preserve">January </w:t>
            </w:r>
            <w:r w:rsidR="003A771C">
              <w:t>1</w:t>
            </w:r>
            <w:r w:rsidR="00B81EA9">
              <w:t>3</w:t>
            </w:r>
            <w:r>
              <w:t>, 20</w:t>
            </w:r>
            <w:r w:rsidR="00F97CF2">
              <w:t>2</w:t>
            </w:r>
            <w:r w:rsidR="002E439C">
              <w:t>2</w:t>
            </w:r>
          </w:p>
        </w:tc>
      </w:tr>
      <w:tr w:rsidR="00516E8C" w14:paraId="5F263942" w14:textId="77777777" w:rsidTr="00FF5EE5">
        <w:tc>
          <w:tcPr>
            <w:tcW w:w="2898" w:type="dxa"/>
          </w:tcPr>
          <w:p w14:paraId="58DB696C" w14:textId="40FE0427" w:rsidR="00516E8C" w:rsidRDefault="00516E8C" w:rsidP="00FF5EE5">
            <w:pPr>
              <w:spacing w:before="60" w:after="60"/>
              <w:rPr>
                <w:rStyle w:val="Strong"/>
              </w:rPr>
            </w:pPr>
            <w:r>
              <w:rPr>
                <w:b/>
              </w:rPr>
              <w:t>Subject / Report No:</w:t>
            </w:r>
          </w:p>
        </w:tc>
        <w:tc>
          <w:tcPr>
            <w:tcW w:w="6678" w:type="dxa"/>
          </w:tcPr>
          <w:p w14:paraId="746844D9" w14:textId="06153C6C" w:rsidR="00516E8C" w:rsidRPr="00CF0CF7" w:rsidRDefault="00516E8C" w:rsidP="0077581D">
            <w:pPr>
              <w:spacing w:before="60" w:after="60"/>
            </w:pPr>
            <w:r>
              <w:t>TR-CW-</w:t>
            </w:r>
            <w:r w:rsidR="00B81EA9">
              <w:t>03</w:t>
            </w:r>
            <w:r>
              <w:t>-</w:t>
            </w:r>
            <w:r w:rsidR="004216D5">
              <w:t>2</w:t>
            </w:r>
            <w:r w:rsidR="00B81EA9">
              <w:t>2</w:t>
            </w:r>
          </w:p>
        </w:tc>
      </w:tr>
      <w:tr w:rsidR="00516E8C" w14:paraId="7C5BEB7E" w14:textId="77777777" w:rsidTr="00FF5EE5">
        <w:tc>
          <w:tcPr>
            <w:tcW w:w="2898" w:type="dxa"/>
          </w:tcPr>
          <w:p w14:paraId="4A5BA8EA" w14:textId="6B2FCCB8" w:rsidR="00516E8C" w:rsidRDefault="00516E8C" w:rsidP="00FF5EE5">
            <w:pPr>
              <w:spacing w:before="60" w:after="60"/>
              <w:rPr>
                <w:b/>
              </w:rPr>
            </w:pPr>
            <w:r>
              <w:rPr>
                <w:b/>
              </w:rPr>
              <w:t>Title:</w:t>
            </w:r>
          </w:p>
        </w:tc>
        <w:tc>
          <w:tcPr>
            <w:tcW w:w="6678" w:type="dxa"/>
          </w:tcPr>
          <w:p w14:paraId="396BEC7B" w14:textId="29A67670" w:rsidR="00516E8C" w:rsidRPr="00CF0CF7" w:rsidRDefault="00992841" w:rsidP="0029466F">
            <w:pPr>
              <w:spacing w:before="60" w:after="60"/>
            </w:pPr>
            <w:r>
              <w:t>RFT-TS-</w:t>
            </w:r>
            <w:r w:rsidR="00B81EA9">
              <w:t>32</w:t>
            </w:r>
            <w:r w:rsidR="0077581D">
              <w:t>-</w:t>
            </w:r>
            <w:r w:rsidR="003A771C">
              <w:t>2</w:t>
            </w:r>
            <w:r w:rsidR="00B81EA9">
              <w:t>1</w:t>
            </w:r>
            <w:r w:rsidR="0077581D">
              <w:t xml:space="preserve"> </w:t>
            </w:r>
            <w:r>
              <w:t xml:space="preserve">Award of </w:t>
            </w:r>
            <w:r w:rsidR="00F97CF2">
              <w:t>Two</w:t>
            </w:r>
            <w:r w:rsidR="0029466F">
              <w:t xml:space="preserve"> Tandem Trucks</w:t>
            </w:r>
          </w:p>
        </w:tc>
      </w:tr>
      <w:tr w:rsidR="00516E8C" w14:paraId="2B9A63AD" w14:textId="77777777" w:rsidTr="00FF5EE5">
        <w:tc>
          <w:tcPr>
            <w:tcW w:w="2898" w:type="dxa"/>
          </w:tcPr>
          <w:p w14:paraId="44120152" w14:textId="38FA8803" w:rsidR="00516E8C" w:rsidRDefault="00516E8C" w:rsidP="00FF5EE5">
            <w:pPr>
              <w:spacing w:before="60" w:after="60"/>
              <w:rPr>
                <w:b/>
              </w:rPr>
            </w:pPr>
            <w:r>
              <w:rPr>
                <w:b/>
              </w:rPr>
              <w:t>Prepared by:</w:t>
            </w:r>
          </w:p>
        </w:tc>
        <w:tc>
          <w:tcPr>
            <w:tcW w:w="6678" w:type="dxa"/>
          </w:tcPr>
          <w:p w14:paraId="01C98906" w14:textId="5CB95B2B" w:rsidR="00516E8C" w:rsidRPr="00CF0CF7" w:rsidRDefault="00992841" w:rsidP="00FF5EE5">
            <w:pPr>
              <w:spacing w:before="60" w:after="60"/>
            </w:pPr>
            <w:r>
              <w:t>Sharon Melville, Buyer and</w:t>
            </w:r>
            <w:r w:rsidR="006B264B">
              <w:br/>
            </w:r>
            <w:r w:rsidR="003A771C">
              <w:t>Jim Nicoll</w:t>
            </w:r>
            <w:r>
              <w:t>, Maintenance Manager</w:t>
            </w:r>
          </w:p>
        </w:tc>
      </w:tr>
      <w:tr w:rsidR="00516E8C" w14:paraId="6C8399D7" w14:textId="77777777" w:rsidTr="00FF5EE5">
        <w:tc>
          <w:tcPr>
            <w:tcW w:w="2898" w:type="dxa"/>
          </w:tcPr>
          <w:p w14:paraId="448C4763" w14:textId="18437073" w:rsidR="00516E8C" w:rsidRDefault="00516E8C" w:rsidP="00FF5EE5">
            <w:pPr>
              <w:spacing w:before="60" w:after="60"/>
              <w:rPr>
                <w:b/>
              </w:rPr>
            </w:pPr>
            <w:r>
              <w:rPr>
                <w:b/>
              </w:rPr>
              <w:t>Reviewed by:</w:t>
            </w:r>
          </w:p>
        </w:tc>
        <w:tc>
          <w:tcPr>
            <w:tcW w:w="6678" w:type="dxa"/>
          </w:tcPr>
          <w:p w14:paraId="549B7FD3" w14:textId="2E95B36C" w:rsidR="00516E8C" w:rsidRPr="00CF0CF7" w:rsidRDefault="00516E8C" w:rsidP="00312D86">
            <w:pPr>
              <w:spacing w:before="60" w:after="60"/>
            </w:pPr>
            <w:r>
              <w:t>Pat Hoy, Director of Transportation</w:t>
            </w:r>
            <w:r w:rsidR="006170C7">
              <w:t xml:space="preserve"> Services</w:t>
            </w:r>
          </w:p>
        </w:tc>
      </w:tr>
      <w:tr w:rsidR="00516E8C" w14:paraId="0300E8A3" w14:textId="77777777" w:rsidTr="00FF5EE5">
        <w:tc>
          <w:tcPr>
            <w:tcW w:w="2898" w:type="dxa"/>
          </w:tcPr>
          <w:p w14:paraId="575EF482" w14:textId="2C2473DA" w:rsidR="00516E8C" w:rsidRDefault="00516E8C" w:rsidP="00FF5EE5">
            <w:pPr>
              <w:spacing w:before="60" w:after="60"/>
              <w:rPr>
                <w:b/>
              </w:rPr>
            </w:pPr>
            <w:r>
              <w:rPr>
                <w:b/>
              </w:rPr>
              <w:t>Lower Tier(s) Affected:</w:t>
            </w:r>
          </w:p>
        </w:tc>
        <w:tc>
          <w:tcPr>
            <w:tcW w:w="6678" w:type="dxa"/>
          </w:tcPr>
          <w:p w14:paraId="70D6FEFB" w14:textId="710DEFA0" w:rsidR="00516E8C" w:rsidRPr="00CF0CF7" w:rsidRDefault="00516E8C" w:rsidP="00FF5EE5">
            <w:pPr>
              <w:spacing w:before="60" w:after="60"/>
            </w:pPr>
          </w:p>
        </w:tc>
      </w:tr>
      <w:tr w:rsidR="00FF5EE5" w14:paraId="0E0B39E2" w14:textId="77777777" w:rsidTr="00FF5EE5">
        <w:tc>
          <w:tcPr>
            <w:tcW w:w="2898" w:type="dxa"/>
          </w:tcPr>
          <w:p w14:paraId="4E351A78" w14:textId="530B9CEA" w:rsidR="00FF5EE5" w:rsidRDefault="00FF5EE5" w:rsidP="00FF5EE5">
            <w:pPr>
              <w:spacing w:before="60" w:after="60"/>
              <w:rPr>
                <w:b/>
              </w:rPr>
            </w:pPr>
            <w:r w:rsidRPr="00FB686F">
              <w:rPr>
                <w:rStyle w:val="Strong"/>
              </w:rPr>
              <w:t>Status</w:t>
            </w:r>
            <w:r w:rsidRPr="00CD64E9">
              <w:rPr>
                <w:b/>
              </w:rPr>
              <w:t>:</w:t>
            </w:r>
          </w:p>
        </w:tc>
        <w:tc>
          <w:tcPr>
            <w:tcW w:w="6678" w:type="dxa"/>
          </w:tcPr>
          <w:p w14:paraId="66455CEF" w14:textId="2D3630BB" w:rsidR="00FF5EE5" w:rsidRPr="00CF0CF7" w:rsidRDefault="007660DB" w:rsidP="00C70DA7">
            <w:pPr>
              <w:spacing w:before="60" w:after="60"/>
            </w:pPr>
            <w:r>
              <w:t xml:space="preserve">Recommendation adopted by Committee as presented per Resolution CW19-22; Endorsed by County Council January 27, 2022 per Resolution CC15-22; </w:t>
            </w:r>
          </w:p>
        </w:tc>
      </w:tr>
    </w:tbl>
    <w:p w14:paraId="0284D929" w14:textId="2D2E57D0" w:rsidR="00AC3A8B" w:rsidRPr="00FB686F" w:rsidRDefault="00FB203E" w:rsidP="00FF5EE5">
      <w:pPr>
        <w:pStyle w:val="Heading2"/>
        <w:keepNext w:val="0"/>
        <w:widowControl w:val="0"/>
        <w:spacing w:before="360"/>
      </w:pPr>
      <w:r>
        <w:t>Recommendation</w:t>
      </w:r>
    </w:p>
    <w:p w14:paraId="048170B3" w14:textId="61D7E87A" w:rsidR="00754865" w:rsidRPr="00CB0534" w:rsidRDefault="00754865" w:rsidP="00014AD9">
      <w:pPr>
        <w:pStyle w:val="ListParagraph"/>
        <w:numPr>
          <w:ilvl w:val="0"/>
          <w:numId w:val="5"/>
        </w:numPr>
        <w:ind w:left="270"/>
        <w:contextualSpacing w:val="0"/>
        <w:rPr>
          <w:rStyle w:val="IntenseEmphasis"/>
          <w:rFonts w:cs="Arial"/>
        </w:rPr>
      </w:pPr>
      <w:bookmarkStart w:id="0" w:name="_Hlk59698389"/>
      <w:r w:rsidRPr="00CB0534">
        <w:rPr>
          <w:rStyle w:val="IntenseEmphasis"/>
          <w:rFonts w:cs="Arial"/>
        </w:rPr>
        <w:t xml:space="preserve">That Report </w:t>
      </w:r>
      <w:r>
        <w:rPr>
          <w:rStyle w:val="IntenseEmphasis"/>
          <w:rFonts w:cs="Arial"/>
        </w:rPr>
        <w:t>TR-CW-03-22</w:t>
      </w:r>
      <w:r w:rsidRPr="00CB0534">
        <w:rPr>
          <w:rStyle w:val="IntenseEmphasis"/>
          <w:rFonts w:cs="Arial"/>
        </w:rPr>
        <w:t xml:space="preserve"> containing the tender results for </w:t>
      </w:r>
      <w:r>
        <w:rPr>
          <w:rStyle w:val="IntenseEmphasis"/>
          <w:rFonts w:cs="Arial"/>
        </w:rPr>
        <w:t>RFT-TS-32-21</w:t>
      </w:r>
      <w:r w:rsidRPr="00CB0534">
        <w:rPr>
          <w:rStyle w:val="IntenseEmphasis"/>
          <w:rFonts w:cs="Arial"/>
        </w:rPr>
        <w:t xml:space="preserve"> </w:t>
      </w:r>
      <w:r>
        <w:rPr>
          <w:rStyle w:val="IntenseEmphasis"/>
          <w:rFonts w:cs="Arial"/>
        </w:rPr>
        <w:t>Roll-off Tandem Trucks</w:t>
      </w:r>
      <w:r w:rsidRPr="00CB0534">
        <w:rPr>
          <w:rStyle w:val="IntenseEmphasis"/>
          <w:rFonts w:cs="Arial"/>
        </w:rPr>
        <w:t xml:space="preserve"> be received; and</w:t>
      </w:r>
    </w:p>
    <w:p w14:paraId="30DC94BE" w14:textId="622746CE" w:rsidR="00754865" w:rsidRDefault="00754865" w:rsidP="00014AD9">
      <w:pPr>
        <w:pStyle w:val="ListParagraph"/>
        <w:numPr>
          <w:ilvl w:val="0"/>
          <w:numId w:val="5"/>
        </w:numPr>
        <w:ind w:left="270"/>
        <w:rPr>
          <w:b/>
        </w:rPr>
      </w:pPr>
      <w:r w:rsidRPr="00754865">
        <w:rPr>
          <w:rStyle w:val="IntenseEmphasis"/>
          <w:rFonts w:cs="Arial"/>
        </w:rPr>
        <w:t xml:space="preserve">That </w:t>
      </w:r>
      <w:r w:rsidRPr="00754865">
        <w:rPr>
          <w:b/>
        </w:rPr>
        <w:t xml:space="preserve">Lewis Motor Sales </w:t>
      </w:r>
      <w:r w:rsidRPr="00754865">
        <w:rPr>
          <w:rStyle w:val="IntenseEmphasis"/>
          <w:rFonts w:cs="Arial"/>
        </w:rPr>
        <w:t xml:space="preserve">be awarded the Tender for a total amount of </w:t>
      </w:r>
      <w:r w:rsidRPr="00754865">
        <w:rPr>
          <w:b/>
        </w:rPr>
        <w:t>$</w:t>
      </w:r>
      <w:r w:rsidRPr="00754865">
        <w:rPr>
          <w:rFonts w:eastAsia="Times New Roman" w:cs="Arial"/>
          <w:b/>
          <w:color w:val="000000"/>
        </w:rPr>
        <w:t xml:space="preserve">1,046,674.64 </w:t>
      </w:r>
      <w:r w:rsidRPr="00754865">
        <w:rPr>
          <w:b/>
        </w:rPr>
        <w:t>excluding HST</w:t>
      </w:r>
      <w:r w:rsidR="00014AD9">
        <w:rPr>
          <w:b/>
        </w:rPr>
        <w:t>; and</w:t>
      </w:r>
    </w:p>
    <w:p w14:paraId="73B8C0E7" w14:textId="77777777" w:rsidR="00754865" w:rsidRPr="00754865" w:rsidRDefault="00754865" w:rsidP="00014AD9">
      <w:pPr>
        <w:pStyle w:val="ListParagraph"/>
        <w:ind w:left="270"/>
        <w:rPr>
          <w:b/>
        </w:rPr>
      </w:pPr>
    </w:p>
    <w:p w14:paraId="0F243AAA" w14:textId="5C3447F5" w:rsidR="00754865" w:rsidRPr="00754865" w:rsidRDefault="00754865" w:rsidP="00014AD9">
      <w:pPr>
        <w:pStyle w:val="ListParagraph"/>
        <w:numPr>
          <w:ilvl w:val="0"/>
          <w:numId w:val="5"/>
        </w:numPr>
        <w:ind w:left="270"/>
        <w:rPr>
          <w:b/>
        </w:rPr>
      </w:pPr>
      <w:r>
        <w:rPr>
          <w:b/>
        </w:rPr>
        <w:t xml:space="preserve">That funding for </w:t>
      </w:r>
      <w:r w:rsidR="00014AD9">
        <w:rPr>
          <w:b/>
        </w:rPr>
        <w:t xml:space="preserve">the overage be taken from any surplus realized in 2022 or if none, </w:t>
      </w:r>
      <w:r w:rsidR="002622AC">
        <w:rPr>
          <w:b/>
        </w:rPr>
        <w:t>the Transportation Services E</w:t>
      </w:r>
      <w:r w:rsidR="00014AD9">
        <w:rPr>
          <w:b/>
        </w:rPr>
        <w:t>quipment</w:t>
      </w:r>
      <w:r w:rsidR="002622AC">
        <w:rPr>
          <w:b/>
        </w:rPr>
        <w:t xml:space="preserve"> Replacement</w:t>
      </w:r>
      <w:r w:rsidR="00014AD9">
        <w:rPr>
          <w:b/>
        </w:rPr>
        <w:t xml:space="preserve"> </w:t>
      </w:r>
      <w:r w:rsidR="002622AC">
        <w:rPr>
          <w:b/>
        </w:rPr>
        <w:t>R</w:t>
      </w:r>
      <w:r w:rsidR="00014AD9">
        <w:rPr>
          <w:b/>
        </w:rPr>
        <w:t>eserve.</w:t>
      </w:r>
    </w:p>
    <w:bookmarkEnd w:id="0"/>
    <w:p w14:paraId="1D9D704A" w14:textId="77777777" w:rsidR="00CD64E9" w:rsidRDefault="00CD64E9" w:rsidP="006E00FA">
      <w:pPr>
        <w:pStyle w:val="Heading2"/>
        <w:keepNext w:val="0"/>
        <w:widowControl w:val="0"/>
      </w:pPr>
      <w:r>
        <w:t>Executive Summary</w:t>
      </w:r>
    </w:p>
    <w:p w14:paraId="502A1C15" w14:textId="676C5D8C" w:rsidR="00D332F1" w:rsidRDefault="00D332F1" w:rsidP="00D332F1">
      <w:r>
        <w:t>Report TR-CW-</w:t>
      </w:r>
      <w:r w:rsidR="009D379C">
        <w:t>19</w:t>
      </w:r>
      <w:r>
        <w:t>-</w:t>
      </w:r>
      <w:r w:rsidR="009D379C">
        <w:t>21</w:t>
      </w:r>
      <w:r>
        <w:t xml:space="preserve"> was endorsed at County Council on </w:t>
      </w:r>
      <w:r w:rsidR="009D379C">
        <w:t>August 12</w:t>
      </w:r>
      <w:r w:rsidR="00014AD9">
        <w:t>, 2021</w:t>
      </w:r>
      <w:r w:rsidR="00C14CD6">
        <w:t xml:space="preserve"> authorizing S</w:t>
      </w:r>
      <w:r>
        <w:t xml:space="preserve">taff to tender for </w:t>
      </w:r>
      <w:r w:rsidR="00276BE2">
        <w:t>two</w:t>
      </w:r>
      <w:r>
        <w:t xml:space="preserve"> </w:t>
      </w:r>
      <w:r w:rsidR="00014AD9">
        <w:t xml:space="preserve">roll-off </w:t>
      </w:r>
      <w:r>
        <w:t xml:space="preserve">tandem trucks prior to the </w:t>
      </w:r>
      <w:r w:rsidR="00276BE2">
        <w:t>202</w:t>
      </w:r>
      <w:r w:rsidR="00014AD9">
        <w:t>2</w:t>
      </w:r>
      <w:r>
        <w:t xml:space="preserve"> budget approval.</w:t>
      </w:r>
    </w:p>
    <w:p w14:paraId="632EC348" w14:textId="0871C870" w:rsidR="00D332F1" w:rsidRPr="00770B51" w:rsidRDefault="00D332F1" w:rsidP="00D332F1">
      <w:pPr>
        <w:rPr>
          <w:rFonts w:cs="Arial"/>
        </w:rPr>
      </w:pPr>
      <w:r w:rsidRPr="00770B51">
        <w:rPr>
          <w:rFonts w:cs="Arial"/>
        </w:rPr>
        <w:t xml:space="preserve">The purpose of this early tender date </w:t>
      </w:r>
      <w:r w:rsidR="007F6C52">
        <w:rPr>
          <w:rFonts w:cs="Arial"/>
        </w:rPr>
        <w:t>was</w:t>
      </w:r>
      <w:r w:rsidRPr="00770B51">
        <w:rPr>
          <w:rFonts w:cs="Arial"/>
        </w:rPr>
        <w:t xml:space="preserve"> to expedite the delivery of the units to ensure that they are available for use for the </w:t>
      </w:r>
      <w:r w:rsidR="00276BE2">
        <w:rPr>
          <w:rFonts w:cs="Arial"/>
        </w:rPr>
        <w:t>202</w:t>
      </w:r>
      <w:r w:rsidR="009D379C">
        <w:rPr>
          <w:rFonts w:cs="Arial"/>
        </w:rPr>
        <w:t>2</w:t>
      </w:r>
      <w:r w:rsidRPr="00770B51">
        <w:rPr>
          <w:rFonts w:cs="Arial"/>
        </w:rPr>
        <w:t>/</w:t>
      </w:r>
      <w:r w:rsidR="0029466F">
        <w:rPr>
          <w:rFonts w:cs="Arial"/>
        </w:rPr>
        <w:t>202</w:t>
      </w:r>
      <w:r w:rsidR="009D379C">
        <w:rPr>
          <w:rFonts w:cs="Arial"/>
        </w:rPr>
        <w:t>3</w:t>
      </w:r>
      <w:r w:rsidRPr="00770B51">
        <w:rPr>
          <w:rFonts w:cs="Arial"/>
        </w:rPr>
        <w:t xml:space="preserve"> winter season. </w:t>
      </w:r>
      <w:r w:rsidR="00C14CD6">
        <w:rPr>
          <w:rFonts w:cs="Arial"/>
        </w:rPr>
        <w:t xml:space="preserve"> </w:t>
      </w:r>
      <w:r w:rsidR="006B264B" w:rsidRPr="00770B51">
        <w:rPr>
          <w:rFonts w:cs="Arial"/>
        </w:rPr>
        <w:t>History</w:t>
      </w:r>
      <w:r w:rsidRPr="00770B51">
        <w:rPr>
          <w:rFonts w:cs="Arial"/>
        </w:rPr>
        <w:t xml:space="preserve"> has shown that delivery takes </w:t>
      </w:r>
      <w:r w:rsidR="0009697D">
        <w:rPr>
          <w:rFonts w:cs="Arial"/>
        </w:rPr>
        <w:t>seven to ten</w:t>
      </w:r>
      <w:r w:rsidRPr="00770B51">
        <w:rPr>
          <w:rFonts w:cs="Arial"/>
        </w:rPr>
        <w:t xml:space="preserve"> months from the date of purchase</w:t>
      </w:r>
      <w:r w:rsidR="009D379C">
        <w:rPr>
          <w:rFonts w:cs="Arial"/>
        </w:rPr>
        <w:t xml:space="preserve"> but due to recent delays, it will likely be 2023 before they are delivered.</w:t>
      </w:r>
    </w:p>
    <w:p w14:paraId="7A842F49" w14:textId="703AB105" w:rsidR="00D332F1" w:rsidRDefault="00D332F1" w:rsidP="00D332F1">
      <w:r>
        <w:lastRenderedPageBreak/>
        <w:t xml:space="preserve">The tenders for the provision of </w:t>
      </w:r>
      <w:r w:rsidR="0029466F">
        <w:t xml:space="preserve">two </w:t>
      </w:r>
      <w:r w:rsidR="009D379C">
        <w:t>roll-off</w:t>
      </w:r>
      <w:r>
        <w:t xml:space="preserve"> tandem plows were posted on </w:t>
      </w:r>
      <w:r w:rsidR="00276BE2">
        <w:t>Bonfire</w:t>
      </w:r>
      <w:r w:rsidR="00865D80">
        <w:t>, (Grey County’s electronic bidding platform),</w:t>
      </w:r>
      <w:r>
        <w:t xml:space="preserve"> from </w:t>
      </w:r>
      <w:r w:rsidR="009D379C">
        <w:t>December 1, 2021</w:t>
      </w:r>
      <w:r w:rsidRPr="006C7D16">
        <w:t xml:space="preserve"> to </w:t>
      </w:r>
      <w:r w:rsidR="0029466F">
        <w:t xml:space="preserve">December </w:t>
      </w:r>
      <w:r w:rsidR="009D379C">
        <w:t>21</w:t>
      </w:r>
      <w:r w:rsidR="0029466F">
        <w:t xml:space="preserve">, </w:t>
      </w:r>
      <w:r w:rsidR="0009697D">
        <w:t>202</w:t>
      </w:r>
      <w:r w:rsidR="009D379C">
        <w:t>1</w:t>
      </w:r>
      <w:r>
        <w:t xml:space="preserve"> (closing date).</w:t>
      </w:r>
    </w:p>
    <w:p w14:paraId="0284D92B" w14:textId="54A8120B" w:rsidR="00AC3A8B" w:rsidRDefault="00AC3A8B" w:rsidP="006E00FA">
      <w:pPr>
        <w:pStyle w:val="Heading2"/>
        <w:keepNext w:val="0"/>
        <w:widowControl w:val="0"/>
      </w:pPr>
      <w:r w:rsidRPr="00B0378D">
        <w:t>Background</w:t>
      </w:r>
      <w:r w:rsidR="00CD64E9">
        <w:t xml:space="preserve"> and Discussion</w:t>
      </w:r>
    </w:p>
    <w:p w14:paraId="32824CA7" w14:textId="77777777" w:rsidR="009D379C" w:rsidRDefault="009D379C" w:rsidP="009D379C">
      <w:pPr>
        <w:widowControl w:val="0"/>
        <w:rPr>
          <w:rFonts w:cs="Arial"/>
        </w:rPr>
      </w:pPr>
      <w:r>
        <w:rPr>
          <w:rFonts w:cs="Arial"/>
        </w:rPr>
        <w:t xml:space="preserve">Grey County purchased two roll-off tandems in 2019. These units are working very well, and staff recommend the purchase of two more roll-offs tandems therefore having one unit at each Patrol. The various attachments can be quickly exchanged from the ground and be fully loaded while doing so. Staff can go from placing anti-icing liquid with the water tank to spreading sand or salt with the spreader body in a manner of minutes.  The water tank attachments allowed for the elimination of the underutilized five-ton units, which currently drive an average of 5,000 </w:t>
      </w:r>
      <w:proofErr w:type="spellStart"/>
      <w:r>
        <w:rPr>
          <w:rFonts w:cs="Arial"/>
        </w:rPr>
        <w:t>kilometres</w:t>
      </w:r>
      <w:proofErr w:type="spellEnd"/>
      <w:r>
        <w:rPr>
          <w:rFonts w:cs="Arial"/>
        </w:rPr>
        <w:t xml:space="preserve"> per year and are used for anti-icing only. Purchasing the two roll-off trucks will eliminate the two remaining five-ton trucks. </w:t>
      </w:r>
    </w:p>
    <w:p w14:paraId="4BC36774" w14:textId="402C79ED" w:rsidR="009D379C" w:rsidRDefault="009D379C" w:rsidP="009D379C">
      <w:pPr>
        <w:widowControl w:val="0"/>
        <w:rPr>
          <w:rFonts w:cs="Arial"/>
        </w:rPr>
      </w:pPr>
      <w:r>
        <w:rPr>
          <w:rFonts w:cs="Arial"/>
        </w:rPr>
        <w:t>The roll-off water tank attachment provides two and a half times the volume for anti-icing when compared to the five-ton units, allowing the trucks to travel much further without the need to refill. The water tank attachment was used to wash bridges in the spring of 2021 and was setup to flush or high pressure wash the structure. During culvert replacements in the summer of 2021, the flatbed was used for transporting pipe and compaction equipment and can be switch</w:t>
      </w:r>
      <w:r w:rsidR="00602646">
        <w:rPr>
          <w:rFonts w:cs="Arial"/>
        </w:rPr>
        <w:t>ed</w:t>
      </w:r>
      <w:r>
        <w:rPr>
          <w:rFonts w:cs="Arial"/>
        </w:rPr>
        <w:t xml:space="preserve"> quickly to a dump box. The flatbed can transport the skid steer which eliminates the need for a float trailer and the operator to have an AZ license,</w:t>
      </w:r>
      <w:r w:rsidRPr="007352DB">
        <w:rPr>
          <w:rFonts w:cs="Arial"/>
        </w:rPr>
        <w:t xml:space="preserve"> </w:t>
      </w:r>
      <w:r>
        <w:rPr>
          <w:rFonts w:cs="Arial"/>
        </w:rPr>
        <w:t>only a DZ license is required, which all our Operators have.</w:t>
      </w:r>
    </w:p>
    <w:p w14:paraId="22649D3E" w14:textId="77777777" w:rsidR="009D379C" w:rsidRPr="00EB683B" w:rsidRDefault="009D379C" w:rsidP="009D379C">
      <w:pPr>
        <w:widowControl w:val="0"/>
        <w:rPr>
          <w:rStyle w:val="IntenseEmphasis"/>
          <w:rFonts w:cs="Arial"/>
          <w:b w:val="0"/>
          <w:bCs w:val="0"/>
        </w:rPr>
      </w:pPr>
      <w:r>
        <w:rPr>
          <w:rFonts w:cs="Arial"/>
        </w:rPr>
        <w:t xml:space="preserve">Additional to the attachments discussed above, the trucks can also be fitted with plow equipment for use during the winter months.  </w:t>
      </w:r>
    </w:p>
    <w:p w14:paraId="08F10DAC" w14:textId="77777777" w:rsidR="009D379C" w:rsidRDefault="009D379C" w:rsidP="009D379C">
      <w:pPr>
        <w:widowControl w:val="0"/>
        <w:rPr>
          <w:rFonts w:cs="Arial"/>
        </w:rPr>
      </w:pPr>
      <w:r w:rsidRPr="001B7C60">
        <w:rPr>
          <w:rFonts w:cs="Arial"/>
        </w:rPr>
        <w:t>A route analysis has shown that tandem trucks are the appropriate vehicle in both material space and agility to undertake winter maintenance.</w:t>
      </w:r>
    </w:p>
    <w:p w14:paraId="09E6A414" w14:textId="67162CAE" w:rsidR="00D332F1" w:rsidRDefault="00D332F1" w:rsidP="00D332F1">
      <w:pPr>
        <w:rPr>
          <w:rFonts w:cs="Arial"/>
        </w:rPr>
      </w:pPr>
      <w:r>
        <w:rPr>
          <w:rFonts w:cs="Arial"/>
        </w:rPr>
        <w:t>A</w:t>
      </w:r>
      <w:r w:rsidRPr="00466D59">
        <w:rPr>
          <w:rFonts w:cs="Arial"/>
        </w:rPr>
        <w:t>s per se</w:t>
      </w:r>
      <w:r w:rsidRPr="00D254D8">
        <w:rPr>
          <w:rFonts w:cs="Arial"/>
        </w:rPr>
        <w:t xml:space="preserve">ction </w:t>
      </w:r>
      <w:r w:rsidR="00D254D8" w:rsidRPr="00D254D8">
        <w:rPr>
          <w:rFonts w:cs="Arial"/>
        </w:rPr>
        <w:t>1</w:t>
      </w:r>
      <w:r w:rsidR="00D254D8" w:rsidRPr="00883957">
        <w:rPr>
          <w:rFonts w:cs="Arial"/>
        </w:rPr>
        <w:t>1</w:t>
      </w:r>
      <w:r w:rsidRPr="00D254D8">
        <w:rPr>
          <w:rFonts w:cs="Arial"/>
        </w:rPr>
        <w:t>.2 of the</w:t>
      </w:r>
      <w:r w:rsidRPr="00466D59">
        <w:rPr>
          <w:rFonts w:cs="Arial"/>
        </w:rPr>
        <w:t xml:space="preserve"> </w:t>
      </w:r>
      <w:r>
        <w:rPr>
          <w:rFonts w:cs="Arial"/>
        </w:rPr>
        <w:t>P</w:t>
      </w:r>
      <w:r w:rsidRPr="00466D59">
        <w:rPr>
          <w:rFonts w:cs="Arial"/>
        </w:rPr>
        <w:t xml:space="preserve">urchasing </w:t>
      </w:r>
      <w:r>
        <w:rPr>
          <w:rFonts w:cs="Arial"/>
        </w:rPr>
        <w:t>P</w:t>
      </w:r>
      <w:r w:rsidRPr="00466D59">
        <w:rPr>
          <w:rFonts w:cs="Arial"/>
        </w:rPr>
        <w:t>olicy</w:t>
      </w:r>
      <w:r>
        <w:rPr>
          <w:rFonts w:cs="Arial"/>
        </w:rPr>
        <w:t>, an opportunity</w:t>
      </w:r>
      <w:r w:rsidRPr="00466D59">
        <w:rPr>
          <w:rFonts w:cs="Arial"/>
        </w:rPr>
        <w:t xml:space="preserve"> to purchase </w:t>
      </w:r>
      <w:r w:rsidR="00276BE2">
        <w:rPr>
          <w:rFonts w:cs="Arial"/>
        </w:rPr>
        <w:t>two</w:t>
      </w:r>
      <w:r>
        <w:rPr>
          <w:rFonts w:cs="Arial"/>
        </w:rPr>
        <w:t xml:space="preserve"> used</w:t>
      </w:r>
      <w:r w:rsidRPr="00466D59">
        <w:rPr>
          <w:rFonts w:cs="Arial"/>
        </w:rPr>
        <w:t xml:space="preserve"> tandem axle trucks will be released to the </w:t>
      </w:r>
      <w:r>
        <w:rPr>
          <w:rFonts w:cs="Arial"/>
        </w:rPr>
        <w:t>member</w:t>
      </w:r>
      <w:r w:rsidRPr="00466D59">
        <w:rPr>
          <w:rFonts w:cs="Arial"/>
        </w:rPr>
        <w:t xml:space="preserve"> municipalities </w:t>
      </w:r>
      <w:r>
        <w:rPr>
          <w:rFonts w:cs="Arial"/>
        </w:rPr>
        <w:t>with</w:t>
      </w:r>
      <w:r w:rsidRPr="00466D59">
        <w:rPr>
          <w:rFonts w:cs="Arial"/>
        </w:rPr>
        <w:t>in Grey County</w:t>
      </w:r>
      <w:r w:rsidR="00C14CD6">
        <w:rPr>
          <w:rFonts w:cs="Arial"/>
        </w:rPr>
        <w:t>,</w:t>
      </w:r>
      <w:r w:rsidRPr="00466D59">
        <w:rPr>
          <w:rFonts w:cs="Arial"/>
        </w:rPr>
        <w:t xml:space="preserve"> once the </w:t>
      </w:r>
      <w:r w:rsidR="00276BE2">
        <w:rPr>
          <w:rFonts w:cs="Arial"/>
        </w:rPr>
        <w:t>two</w:t>
      </w:r>
      <w:r w:rsidRPr="00466D59">
        <w:rPr>
          <w:rFonts w:cs="Arial"/>
        </w:rPr>
        <w:t xml:space="preserve"> new tandems have been received</w:t>
      </w:r>
      <w:r>
        <w:rPr>
          <w:rFonts w:cs="Arial"/>
        </w:rPr>
        <w:t xml:space="preserve"> (</w:t>
      </w:r>
      <w:r w:rsidR="009D379C">
        <w:rPr>
          <w:rFonts w:cs="Arial"/>
        </w:rPr>
        <w:t>late 2022 or early 202</w:t>
      </w:r>
      <w:r w:rsidR="00A23B24">
        <w:rPr>
          <w:rFonts w:cs="Arial"/>
        </w:rPr>
        <w:t>3</w:t>
      </w:r>
      <w:r>
        <w:rPr>
          <w:rFonts w:cs="Arial"/>
        </w:rPr>
        <w:t xml:space="preserve">). </w:t>
      </w:r>
      <w:r w:rsidR="00C14CD6">
        <w:rPr>
          <w:rFonts w:cs="Arial"/>
        </w:rPr>
        <w:t xml:space="preserve"> </w:t>
      </w:r>
      <w:r w:rsidR="00CD55AA">
        <w:rPr>
          <w:rFonts w:cs="Arial"/>
        </w:rPr>
        <w:t>Appropriate r</w:t>
      </w:r>
      <w:r w:rsidR="00CD55AA" w:rsidRPr="00883957">
        <w:rPr>
          <w:rFonts w:cs="Arial"/>
        </w:rPr>
        <w:t>eserve</w:t>
      </w:r>
      <w:r w:rsidR="006C0F24" w:rsidRPr="00883957">
        <w:rPr>
          <w:rFonts w:cs="Arial"/>
        </w:rPr>
        <w:t xml:space="preserve"> bids are </w:t>
      </w:r>
      <w:r w:rsidR="00CD55AA" w:rsidRPr="00883957">
        <w:rPr>
          <w:rFonts w:cs="Arial"/>
        </w:rPr>
        <w:t>placed on each</w:t>
      </w:r>
      <w:r w:rsidR="00C578E3" w:rsidRPr="00883957">
        <w:rPr>
          <w:rFonts w:cs="Arial"/>
        </w:rPr>
        <w:t xml:space="preserve"> </w:t>
      </w:r>
      <w:r w:rsidR="00CD55AA">
        <w:rPr>
          <w:rFonts w:cs="Arial"/>
        </w:rPr>
        <w:t>of</w:t>
      </w:r>
      <w:r w:rsidR="00CD55AA" w:rsidRPr="00883957">
        <w:rPr>
          <w:rFonts w:cs="Arial"/>
        </w:rPr>
        <w:t xml:space="preserve"> </w:t>
      </w:r>
      <w:r w:rsidR="00C578E3" w:rsidRPr="00883957">
        <w:rPr>
          <w:rFonts w:cs="Arial"/>
        </w:rPr>
        <w:t>the tandem trucks</w:t>
      </w:r>
      <w:r w:rsidR="00CD55AA">
        <w:rPr>
          <w:rFonts w:cs="Arial"/>
        </w:rPr>
        <w:t xml:space="preserve"> when offered for sale</w:t>
      </w:r>
      <w:r w:rsidR="007F6C52" w:rsidRPr="00CD55AA">
        <w:rPr>
          <w:rFonts w:cs="Arial"/>
        </w:rPr>
        <w:t>.  I</w:t>
      </w:r>
      <w:r w:rsidRPr="00CD55AA">
        <w:rPr>
          <w:rFonts w:cs="Arial"/>
        </w:rPr>
        <w:t>f no bids are received or the r</w:t>
      </w:r>
      <w:r w:rsidRPr="007F6C52">
        <w:rPr>
          <w:rFonts w:cs="Arial"/>
        </w:rPr>
        <w:t xml:space="preserve">eserved bid is not met, </w:t>
      </w:r>
      <w:r w:rsidR="00C578E3" w:rsidRPr="007F6C52">
        <w:rPr>
          <w:rFonts w:cs="Arial"/>
        </w:rPr>
        <w:t xml:space="preserve">all trucks </w:t>
      </w:r>
      <w:r w:rsidRPr="007F6C52">
        <w:rPr>
          <w:rFonts w:cs="Arial"/>
        </w:rPr>
        <w:t>will proceed to a public auction.</w:t>
      </w:r>
    </w:p>
    <w:p w14:paraId="70313EF2" w14:textId="77777777" w:rsidR="00D332F1" w:rsidRDefault="00D332F1" w:rsidP="00D332F1">
      <w:pPr>
        <w:rPr>
          <w:bCs/>
          <w:iCs/>
        </w:rPr>
      </w:pPr>
      <w:r w:rsidRPr="003D12C1">
        <w:rPr>
          <w:bCs/>
          <w:iCs/>
        </w:rPr>
        <w:t xml:space="preserve">The bids submitted with the results </w:t>
      </w:r>
      <w:r>
        <w:rPr>
          <w:bCs/>
          <w:iCs/>
        </w:rPr>
        <w:t xml:space="preserve">are </w:t>
      </w:r>
      <w:r w:rsidRPr="003D12C1">
        <w:rPr>
          <w:bCs/>
          <w:iCs/>
        </w:rPr>
        <w:t>listed below.</w:t>
      </w:r>
    </w:p>
    <w:tbl>
      <w:tblPr>
        <w:tblStyle w:val="TableGrid"/>
        <w:tblW w:w="9175" w:type="dxa"/>
        <w:tblLook w:val="04A0" w:firstRow="1" w:lastRow="0" w:firstColumn="1" w:lastColumn="0" w:noHBand="0" w:noVBand="1"/>
        <w:tblDescription w:val="A list of each bidder and their submission pricing excluding taxes"/>
      </w:tblPr>
      <w:tblGrid>
        <w:gridCol w:w="452"/>
        <w:gridCol w:w="4493"/>
        <w:gridCol w:w="4230"/>
      </w:tblGrid>
      <w:tr w:rsidR="0009697D" w:rsidRPr="00885E1E" w14:paraId="4A5D172C" w14:textId="77777777" w:rsidTr="00597244">
        <w:trPr>
          <w:trHeight w:val="359"/>
          <w:tblHeader/>
        </w:trPr>
        <w:tc>
          <w:tcPr>
            <w:tcW w:w="452" w:type="dxa"/>
            <w:shd w:val="clear" w:color="auto" w:fill="F2F2F2" w:themeFill="background1" w:themeFillShade="F2"/>
            <w:vAlign w:val="center"/>
          </w:tcPr>
          <w:p w14:paraId="07B835DF" w14:textId="77777777" w:rsidR="0009697D" w:rsidRPr="00CB2CA5" w:rsidRDefault="0009697D" w:rsidP="00CB2CA5">
            <w:pPr>
              <w:spacing w:before="40" w:after="40"/>
              <w:jc w:val="center"/>
              <w:rPr>
                <w:b/>
              </w:rPr>
            </w:pPr>
            <w:r w:rsidRPr="00CB2CA5">
              <w:rPr>
                <w:b/>
              </w:rPr>
              <w:t>#</w:t>
            </w:r>
          </w:p>
        </w:tc>
        <w:tc>
          <w:tcPr>
            <w:tcW w:w="4493" w:type="dxa"/>
            <w:shd w:val="clear" w:color="auto" w:fill="F2F2F2" w:themeFill="background1" w:themeFillShade="F2"/>
            <w:vAlign w:val="center"/>
          </w:tcPr>
          <w:p w14:paraId="40F75CA4" w14:textId="77777777" w:rsidR="0009697D" w:rsidRPr="00CB2CA5" w:rsidRDefault="0009697D" w:rsidP="00CB2CA5">
            <w:pPr>
              <w:spacing w:before="40" w:after="40"/>
              <w:jc w:val="center"/>
              <w:rPr>
                <w:b/>
              </w:rPr>
            </w:pPr>
            <w:r w:rsidRPr="00CB2CA5">
              <w:rPr>
                <w:b/>
              </w:rPr>
              <w:t>Name of Bidder</w:t>
            </w:r>
          </w:p>
        </w:tc>
        <w:tc>
          <w:tcPr>
            <w:tcW w:w="4230" w:type="dxa"/>
            <w:shd w:val="clear" w:color="auto" w:fill="F2F2F2" w:themeFill="background1" w:themeFillShade="F2"/>
          </w:tcPr>
          <w:p w14:paraId="6CA9D4FE" w14:textId="22A826A3" w:rsidR="0009697D" w:rsidRPr="00CB2CA5" w:rsidRDefault="0009697D" w:rsidP="00CB2CA5">
            <w:pPr>
              <w:spacing w:before="40" w:after="40"/>
              <w:jc w:val="center"/>
              <w:rPr>
                <w:b/>
              </w:rPr>
            </w:pPr>
            <w:r w:rsidRPr="00CB2CA5">
              <w:rPr>
                <w:b/>
              </w:rPr>
              <w:t>Bid Amount</w:t>
            </w:r>
            <w:r w:rsidR="009D379C">
              <w:rPr>
                <w:b/>
              </w:rPr>
              <w:t xml:space="preserve"> per Truck/Total</w:t>
            </w:r>
            <w:r w:rsidRPr="00CB2CA5">
              <w:rPr>
                <w:b/>
              </w:rPr>
              <w:t xml:space="preserve"> – (excl</w:t>
            </w:r>
            <w:r w:rsidR="000A6FEA" w:rsidRPr="00CB2CA5">
              <w:rPr>
                <w:b/>
              </w:rPr>
              <w:t>uding</w:t>
            </w:r>
            <w:r w:rsidRPr="00CB2CA5">
              <w:rPr>
                <w:b/>
              </w:rPr>
              <w:t xml:space="preserve"> taxes)</w:t>
            </w:r>
          </w:p>
        </w:tc>
      </w:tr>
      <w:tr w:rsidR="0009697D" w:rsidRPr="00885E1E" w14:paraId="5E1122E7" w14:textId="77777777" w:rsidTr="000A6FEA">
        <w:trPr>
          <w:trHeight w:val="485"/>
        </w:trPr>
        <w:tc>
          <w:tcPr>
            <w:tcW w:w="452" w:type="dxa"/>
            <w:vAlign w:val="center"/>
          </w:tcPr>
          <w:p w14:paraId="070C95E3" w14:textId="77777777" w:rsidR="0009697D" w:rsidRPr="00BE4CEC" w:rsidRDefault="0009697D" w:rsidP="00B032C9">
            <w:pPr>
              <w:pStyle w:val="ListParagraph"/>
              <w:numPr>
                <w:ilvl w:val="0"/>
                <w:numId w:val="4"/>
              </w:numPr>
              <w:ind w:left="360"/>
              <w:contextualSpacing w:val="0"/>
              <w:rPr>
                <w:rFonts w:cs="Arial"/>
              </w:rPr>
            </w:pPr>
          </w:p>
        </w:tc>
        <w:tc>
          <w:tcPr>
            <w:tcW w:w="4493" w:type="dxa"/>
            <w:vAlign w:val="center"/>
          </w:tcPr>
          <w:p w14:paraId="08DED0DA" w14:textId="77777777" w:rsidR="0009697D" w:rsidRPr="003F37B1" w:rsidRDefault="0009697D" w:rsidP="002E62BB">
            <w:pPr>
              <w:tabs>
                <w:tab w:val="right" w:pos="720"/>
                <w:tab w:val="left" w:pos="10800"/>
              </w:tabs>
              <w:rPr>
                <w:rFonts w:cs="Arial"/>
              </w:rPr>
            </w:pPr>
            <w:r>
              <w:rPr>
                <w:rFonts w:cs="Arial"/>
              </w:rPr>
              <w:t>Lewis Motor Sales</w:t>
            </w:r>
          </w:p>
        </w:tc>
        <w:tc>
          <w:tcPr>
            <w:tcW w:w="4230" w:type="dxa"/>
            <w:vAlign w:val="center"/>
          </w:tcPr>
          <w:p w14:paraId="66FEF530" w14:textId="7D4E3DFD" w:rsidR="0009697D" w:rsidRDefault="009D379C" w:rsidP="000A6FEA">
            <w:pPr>
              <w:tabs>
                <w:tab w:val="right" w:pos="720"/>
                <w:tab w:val="left" w:pos="10800"/>
              </w:tabs>
              <w:jc w:val="center"/>
              <w:rPr>
                <w:rFonts w:cs="Arial"/>
              </w:rPr>
            </w:pPr>
            <w:r w:rsidRPr="009D379C">
              <w:rPr>
                <w:rFonts w:cs="Arial"/>
              </w:rPr>
              <w:t>$523,337.32/$1,046,674.64</w:t>
            </w:r>
          </w:p>
        </w:tc>
      </w:tr>
      <w:tr w:rsidR="0009697D" w:rsidRPr="00885E1E" w14:paraId="6E4DF719" w14:textId="77777777" w:rsidTr="000A6FEA">
        <w:trPr>
          <w:trHeight w:val="485"/>
        </w:trPr>
        <w:tc>
          <w:tcPr>
            <w:tcW w:w="452" w:type="dxa"/>
            <w:vAlign w:val="center"/>
          </w:tcPr>
          <w:p w14:paraId="5274EA68" w14:textId="77777777" w:rsidR="0009697D" w:rsidRPr="00BE4CEC" w:rsidRDefault="0009697D" w:rsidP="00B032C9">
            <w:pPr>
              <w:pStyle w:val="ListParagraph"/>
              <w:numPr>
                <w:ilvl w:val="0"/>
                <w:numId w:val="4"/>
              </w:numPr>
              <w:ind w:left="360"/>
              <w:contextualSpacing w:val="0"/>
              <w:rPr>
                <w:rFonts w:cs="Arial"/>
              </w:rPr>
            </w:pPr>
          </w:p>
        </w:tc>
        <w:tc>
          <w:tcPr>
            <w:tcW w:w="4493" w:type="dxa"/>
            <w:vAlign w:val="center"/>
          </w:tcPr>
          <w:p w14:paraId="6A518699" w14:textId="77777777" w:rsidR="0009697D" w:rsidRPr="003F37B1" w:rsidRDefault="0009697D" w:rsidP="002E62BB">
            <w:pPr>
              <w:tabs>
                <w:tab w:val="right" w:pos="720"/>
                <w:tab w:val="left" w:pos="10800"/>
              </w:tabs>
              <w:rPr>
                <w:rFonts w:cs="Arial"/>
              </w:rPr>
            </w:pPr>
            <w:r>
              <w:rPr>
                <w:rFonts w:cs="Arial"/>
              </w:rPr>
              <w:t>Team Truck Centre</w:t>
            </w:r>
          </w:p>
        </w:tc>
        <w:tc>
          <w:tcPr>
            <w:tcW w:w="4230" w:type="dxa"/>
            <w:vAlign w:val="center"/>
          </w:tcPr>
          <w:p w14:paraId="54A58E39" w14:textId="082BD2AC" w:rsidR="0009697D" w:rsidRDefault="009D379C" w:rsidP="000A6FEA">
            <w:pPr>
              <w:tabs>
                <w:tab w:val="right" w:pos="720"/>
                <w:tab w:val="left" w:pos="10800"/>
              </w:tabs>
              <w:jc w:val="center"/>
              <w:rPr>
                <w:rFonts w:cs="Arial"/>
              </w:rPr>
            </w:pPr>
            <w:r>
              <w:rPr>
                <w:rFonts w:cs="Arial"/>
              </w:rPr>
              <w:t>Non-Compliant</w:t>
            </w:r>
          </w:p>
        </w:tc>
      </w:tr>
    </w:tbl>
    <w:p w14:paraId="0284D92D" w14:textId="1FE39C26" w:rsidR="00AC3A8B" w:rsidRPr="00217518" w:rsidRDefault="00CD64E9" w:rsidP="00CD64E9">
      <w:pPr>
        <w:pStyle w:val="Heading2"/>
      </w:pPr>
      <w:r>
        <w:t>Legal and Legislated Requirements</w:t>
      </w:r>
    </w:p>
    <w:p w14:paraId="27FE6959" w14:textId="53805FA5" w:rsidR="007F6C52" w:rsidRDefault="0077581D">
      <w:pPr>
        <w:rPr>
          <w:rFonts w:eastAsiaTheme="majorEastAsia" w:cstheme="majorBidi"/>
          <w:sz w:val="36"/>
          <w:szCs w:val="32"/>
        </w:rPr>
      </w:pPr>
      <w:r>
        <w:rPr>
          <w:rStyle w:val="IntenseEmphasis"/>
          <w:b w:val="0"/>
        </w:rPr>
        <w:t>None.</w:t>
      </w:r>
    </w:p>
    <w:p w14:paraId="0284D92F" w14:textId="7DCFCD28" w:rsidR="00AC3A8B" w:rsidRPr="00B0378D" w:rsidRDefault="00AC3A8B" w:rsidP="006E00FA">
      <w:pPr>
        <w:pStyle w:val="Heading2"/>
        <w:keepNext w:val="0"/>
        <w:widowControl w:val="0"/>
        <w:rPr>
          <w:b/>
        </w:rPr>
      </w:pPr>
      <w:r w:rsidRPr="00B0378D">
        <w:t>Financial</w:t>
      </w:r>
      <w:r w:rsidR="00CD64E9">
        <w:t xml:space="preserve"> and Resource Implications</w:t>
      </w:r>
    </w:p>
    <w:tbl>
      <w:tblPr>
        <w:tblStyle w:val="TableGrid"/>
        <w:tblW w:w="9067" w:type="dxa"/>
        <w:tblInd w:w="108" w:type="dxa"/>
        <w:tblLook w:val="04A0" w:firstRow="1" w:lastRow="0" w:firstColumn="1" w:lastColumn="0" w:noHBand="0" w:noVBand="1"/>
      </w:tblPr>
      <w:tblGrid>
        <w:gridCol w:w="3577"/>
        <w:gridCol w:w="2250"/>
        <w:gridCol w:w="3240"/>
      </w:tblGrid>
      <w:tr w:rsidR="00865D80" w:rsidRPr="00D208BD" w14:paraId="35D14552" w14:textId="77777777" w:rsidTr="00865D80">
        <w:trPr>
          <w:trHeight w:val="50"/>
          <w:tblHeader/>
        </w:trPr>
        <w:tc>
          <w:tcPr>
            <w:tcW w:w="3577" w:type="dxa"/>
            <w:shd w:val="clear" w:color="auto" w:fill="F2F2F2" w:themeFill="background1" w:themeFillShade="F2"/>
            <w:vAlign w:val="center"/>
          </w:tcPr>
          <w:p w14:paraId="1EF2D397" w14:textId="77777777" w:rsidR="00865D80" w:rsidRPr="00D208BD" w:rsidRDefault="00865D80" w:rsidP="002E62BB">
            <w:pPr>
              <w:spacing w:before="40" w:after="40"/>
              <w:jc w:val="center"/>
              <w:rPr>
                <w:b/>
              </w:rPr>
            </w:pPr>
            <w:bookmarkStart w:id="1" w:name="_Hlk27492407"/>
            <w:r w:rsidRPr="00D208BD">
              <w:rPr>
                <w:b/>
              </w:rPr>
              <w:t>Item</w:t>
            </w:r>
          </w:p>
        </w:tc>
        <w:tc>
          <w:tcPr>
            <w:tcW w:w="2250" w:type="dxa"/>
            <w:shd w:val="clear" w:color="auto" w:fill="F2F2F2" w:themeFill="background1" w:themeFillShade="F2"/>
            <w:vAlign w:val="center"/>
          </w:tcPr>
          <w:p w14:paraId="64AC067E" w14:textId="77777777" w:rsidR="00865D80" w:rsidRPr="00D208BD" w:rsidRDefault="00865D80" w:rsidP="002E62BB">
            <w:pPr>
              <w:spacing w:before="40" w:after="40"/>
              <w:jc w:val="center"/>
              <w:rPr>
                <w:b/>
              </w:rPr>
            </w:pPr>
            <w:r w:rsidRPr="00D208BD">
              <w:rPr>
                <w:b/>
              </w:rPr>
              <w:t>Excluding HST</w:t>
            </w:r>
          </w:p>
        </w:tc>
        <w:tc>
          <w:tcPr>
            <w:tcW w:w="3240" w:type="dxa"/>
            <w:shd w:val="clear" w:color="auto" w:fill="F2F2F2" w:themeFill="background1" w:themeFillShade="F2"/>
            <w:vAlign w:val="center"/>
          </w:tcPr>
          <w:p w14:paraId="36820A48" w14:textId="77777777" w:rsidR="00865D80" w:rsidRPr="00D208BD" w:rsidRDefault="00865D80" w:rsidP="002E62BB">
            <w:pPr>
              <w:spacing w:before="40" w:after="40"/>
              <w:jc w:val="center"/>
              <w:rPr>
                <w:b/>
              </w:rPr>
            </w:pPr>
            <w:r>
              <w:rPr>
                <w:b/>
              </w:rPr>
              <w:t>Including Non-Refundable Portion of HST</w:t>
            </w:r>
          </w:p>
        </w:tc>
      </w:tr>
      <w:tr w:rsidR="00865D80" w:rsidRPr="007A570E" w14:paraId="2F107AA3" w14:textId="77777777" w:rsidTr="00865D80">
        <w:trPr>
          <w:trHeight w:val="89"/>
        </w:trPr>
        <w:tc>
          <w:tcPr>
            <w:tcW w:w="3577" w:type="dxa"/>
            <w:shd w:val="clear" w:color="auto" w:fill="auto"/>
            <w:vAlign w:val="center"/>
          </w:tcPr>
          <w:p w14:paraId="385D3A79" w14:textId="5547B3D2" w:rsidR="00865D80" w:rsidRDefault="00865D80" w:rsidP="002E62BB">
            <w:pPr>
              <w:spacing w:before="40" w:after="40"/>
            </w:pPr>
            <w:r>
              <w:t>202</w:t>
            </w:r>
            <w:r w:rsidR="008825F0">
              <w:t>2</w:t>
            </w:r>
            <w:r>
              <w:t xml:space="preserve"> Budget Amount</w:t>
            </w:r>
          </w:p>
        </w:tc>
        <w:tc>
          <w:tcPr>
            <w:tcW w:w="2250" w:type="dxa"/>
            <w:shd w:val="clear" w:color="auto" w:fill="auto"/>
            <w:vAlign w:val="center"/>
          </w:tcPr>
          <w:p w14:paraId="6B990C12" w14:textId="76917876" w:rsidR="00865D80" w:rsidRPr="00866A81" w:rsidRDefault="00865D80" w:rsidP="002E62BB">
            <w:pPr>
              <w:spacing w:before="40" w:after="40"/>
              <w:jc w:val="center"/>
            </w:pPr>
            <w:r w:rsidRPr="00866A81">
              <w:t>$</w:t>
            </w:r>
            <w:r w:rsidR="008825F0" w:rsidRPr="00866A81">
              <w:t>918,632.08</w:t>
            </w:r>
          </w:p>
        </w:tc>
        <w:tc>
          <w:tcPr>
            <w:tcW w:w="3240" w:type="dxa"/>
            <w:shd w:val="clear" w:color="auto" w:fill="auto"/>
            <w:vAlign w:val="center"/>
          </w:tcPr>
          <w:p w14:paraId="6970FFC1" w14:textId="5CC12226" w:rsidR="00865D80" w:rsidRPr="00866A81" w:rsidRDefault="00865D80" w:rsidP="002E62BB">
            <w:pPr>
              <w:spacing w:before="40" w:after="40"/>
              <w:jc w:val="center"/>
            </w:pPr>
            <w:r w:rsidRPr="00866A81">
              <w:t>$</w:t>
            </w:r>
            <w:r w:rsidR="008825F0" w:rsidRPr="00866A81">
              <w:t>934,800</w:t>
            </w:r>
            <w:r w:rsidR="00DD38CF" w:rsidRPr="00866A81">
              <w:t>.00</w:t>
            </w:r>
          </w:p>
        </w:tc>
      </w:tr>
      <w:tr w:rsidR="00865D80" w:rsidRPr="007A570E" w14:paraId="3BBAB4FC" w14:textId="77777777" w:rsidTr="00865D80">
        <w:trPr>
          <w:trHeight w:val="89"/>
        </w:trPr>
        <w:tc>
          <w:tcPr>
            <w:tcW w:w="3577" w:type="dxa"/>
            <w:shd w:val="clear" w:color="auto" w:fill="auto"/>
            <w:vAlign w:val="center"/>
          </w:tcPr>
          <w:p w14:paraId="263D8BCB" w14:textId="77777777" w:rsidR="00865D80" w:rsidRPr="00F76A69" w:rsidRDefault="00865D80" w:rsidP="002E62BB">
            <w:pPr>
              <w:spacing w:before="40" w:after="40"/>
            </w:pPr>
            <w:r>
              <w:t>Two Tandem Trucks</w:t>
            </w:r>
          </w:p>
        </w:tc>
        <w:tc>
          <w:tcPr>
            <w:tcW w:w="2250" w:type="dxa"/>
            <w:shd w:val="clear" w:color="auto" w:fill="auto"/>
            <w:vAlign w:val="center"/>
          </w:tcPr>
          <w:p w14:paraId="2228B6A7" w14:textId="6A7703ED" w:rsidR="00865D80" w:rsidRPr="00866A81" w:rsidRDefault="00865D80" w:rsidP="002E62BB">
            <w:pPr>
              <w:spacing w:before="40" w:after="40"/>
              <w:jc w:val="center"/>
            </w:pPr>
            <w:r w:rsidRPr="00866A81">
              <w:t>$</w:t>
            </w:r>
            <w:r w:rsidR="003E1917" w:rsidRPr="00866A81">
              <w:rPr>
                <w:rFonts w:cs="Arial"/>
              </w:rPr>
              <w:t>1,046,674.64</w:t>
            </w:r>
          </w:p>
        </w:tc>
        <w:tc>
          <w:tcPr>
            <w:tcW w:w="3240" w:type="dxa"/>
            <w:shd w:val="clear" w:color="auto" w:fill="auto"/>
            <w:vAlign w:val="center"/>
          </w:tcPr>
          <w:p w14:paraId="0EF3D839" w14:textId="7A970156" w:rsidR="00865D80" w:rsidRPr="00866A81" w:rsidRDefault="00865D80" w:rsidP="002E62BB">
            <w:pPr>
              <w:spacing w:before="40" w:after="40"/>
              <w:jc w:val="center"/>
            </w:pPr>
            <w:r w:rsidRPr="00866A81">
              <w:t>$</w:t>
            </w:r>
            <w:r w:rsidR="003E1917" w:rsidRPr="00866A81">
              <w:t>1,065,096.11</w:t>
            </w:r>
          </w:p>
        </w:tc>
      </w:tr>
      <w:tr w:rsidR="00865D80" w:rsidRPr="00884DEF" w14:paraId="5E627E2A" w14:textId="77777777" w:rsidTr="00865D80">
        <w:trPr>
          <w:trHeight w:val="50"/>
        </w:trPr>
        <w:tc>
          <w:tcPr>
            <w:tcW w:w="3577" w:type="dxa"/>
            <w:vAlign w:val="center"/>
          </w:tcPr>
          <w:p w14:paraId="04BDFCD2" w14:textId="77777777" w:rsidR="00865D80" w:rsidRPr="00F76A69" w:rsidRDefault="00865D80" w:rsidP="002E62BB">
            <w:pPr>
              <w:spacing w:before="40" w:after="40"/>
            </w:pPr>
            <w:r>
              <w:t>Two Stainless Steel Oil Pans</w:t>
            </w:r>
          </w:p>
        </w:tc>
        <w:tc>
          <w:tcPr>
            <w:tcW w:w="2250" w:type="dxa"/>
            <w:shd w:val="clear" w:color="auto" w:fill="auto"/>
            <w:vAlign w:val="center"/>
          </w:tcPr>
          <w:p w14:paraId="0798AC88" w14:textId="6A8FB3CE" w:rsidR="00865D80" w:rsidRPr="00866A81" w:rsidRDefault="00865D80" w:rsidP="002E62BB">
            <w:pPr>
              <w:spacing w:before="40" w:after="40"/>
              <w:jc w:val="center"/>
            </w:pPr>
            <w:r w:rsidRPr="00866A81">
              <w:t>$</w:t>
            </w:r>
            <w:r w:rsidR="003E1917" w:rsidRPr="00866A81">
              <w:t>4,296</w:t>
            </w:r>
            <w:r w:rsidRPr="00866A81">
              <w:t>.00</w:t>
            </w:r>
          </w:p>
        </w:tc>
        <w:tc>
          <w:tcPr>
            <w:tcW w:w="3240" w:type="dxa"/>
            <w:shd w:val="clear" w:color="auto" w:fill="auto"/>
            <w:vAlign w:val="center"/>
          </w:tcPr>
          <w:p w14:paraId="071F7F47" w14:textId="504CD5F7" w:rsidR="00865D80" w:rsidRPr="00866A81" w:rsidRDefault="00865D80" w:rsidP="002E62BB">
            <w:pPr>
              <w:spacing w:before="40" w:after="40"/>
              <w:jc w:val="center"/>
            </w:pPr>
            <w:r w:rsidRPr="00866A81">
              <w:t>$</w:t>
            </w:r>
            <w:r w:rsidR="003E1917" w:rsidRPr="00866A81">
              <w:t>4,371.62</w:t>
            </w:r>
          </w:p>
        </w:tc>
      </w:tr>
      <w:tr w:rsidR="00865D80" w:rsidRPr="00884DEF" w14:paraId="09B7A339" w14:textId="77777777" w:rsidTr="00865D80">
        <w:trPr>
          <w:trHeight w:val="170"/>
        </w:trPr>
        <w:tc>
          <w:tcPr>
            <w:tcW w:w="3577" w:type="dxa"/>
            <w:vAlign w:val="center"/>
          </w:tcPr>
          <w:p w14:paraId="038EF404" w14:textId="77777777" w:rsidR="00865D80" w:rsidRPr="00F76A69" w:rsidRDefault="00865D80" w:rsidP="002E62BB">
            <w:pPr>
              <w:spacing w:before="40" w:after="40"/>
            </w:pPr>
            <w:r>
              <w:t>Total Cost</w:t>
            </w:r>
          </w:p>
        </w:tc>
        <w:tc>
          <w:tcPr>
            <w:tcW w:w="2250" w:type="dxa"/>
            <w:shd w:val="clear" w:color="auto" w:fill="auto"/>
            <w:vAlign w:val="center"/>
          </w:tcPr>
          <w:p w14:paraId="1E34005E" w14:textId="173B0B41" w:rsidR="00865D80" w:rsidRPr="00866A81" w:rsidRDefault="00865D80" w:rsidP="002E62BB">
            <w:pPr>
              <w:spacing w:before="40" w:after="40"/>
              <w:jc w:val="center"/>
            </w:pPr>
            <w:r w:rsidRPr="00866A81">
              <w:t>$</w:t>
            </w:r>
            <w:r w:rsidR="003E1917" w:rsidRPr="00866A81">
              <w:t>1,050,970.64</w:t>
            </w:r>
          </w:p>
        </w:tc>
        <w:tc>
          <w:tcPr>
            <w:tcW w:w="3240" w:type="dxa"/>
            <w:shd w:val="clear" w:color="auto" w:fill="auto"/>
            <w:vAlign w:val="center"/>
          </w:tcPr>
          <w:p w14:paraId="4BFED17E" w14:textId="08492575" w:rsidR="00865D80" w:rsidRPr="00866A81" w:rsidRDefault="00865D80" w:rsidP="002E62BB">
            <w:pPr>
              <w:spacing w:before="40" w:after="40"/>
              <w:jc w:val="center"/>
            </w:pPr>
            <w:r w:rsidRPr="00866A81">
              <w:t>$</w:t>
            </w:r>
            <w:r w:rsidR="003E1917" w:rsidRPr="00866A81">
              <w:t>1,069,467.72</w:t>
            </w:r>
          </w:p>
        </w:tc>
      </w:tr>
      <w:tr w:rsidR="00865D80" w:rsidRPr="00884DEF" w14:paraId="30FF8F4F" w14:textId="77777777" w:rsidTr="00865D80">
        <w:trPr>
          <w:trHeight w:val="170"/>
        </w:trPr>
        <w:tc>
          <w:tcPr>
            <w:tcW w:w="3577" w:type="dxa"/>
            <w:vAlign w:val="center"/>
          </w:tcPr>
          <w:p w14:paraId="64FD6A04" w14:textId="25EDF1D6" w:rsidR="00865D80" w:rsidRPr="00597244" w:rsidRDefault="00865D80" w:rsidP="002E62BB">
            <w:pPr>
              <w:spacing w:before="40" w:after="40"/>
              <w:rPr>
                <w:i/>
                <w:iCs/>
              </w:rPr>
            </w:pPr>
            <w:r w:rsidRPr="00597244">
              <w:rPr>
                <w:i/>
                <w:iCs/>
              </w:rPr>
              <w:t xml:space="preserve">Projected </w:t>
            </w:r>
            <w:r w:rsidR="003E1917">
              <w:rPr>
                <w:i/>
                <w:iCs/>
              </w:rPr>
              <w:t>Deficit</w:t>
            </w:r>
          </w:p>
        </w:tc>
        <w:tc>
          <w:tcPr>
            <w:tcW w:w="2250" w:type="dxa"/>
            <w:shd w:val="clear" w:color="auto" w:fill="auto"/>
            <w:vAlign w:val="center"/>
          </w:tcPr>
          <w:p w14:paraId="68D91103" w14:textId="07DEDC39" w:rsidR="00865D80" w:rsidRPr="00866A81" w:rsidRDefault="00865D80" w:rsidP="002E62BB">
            <w:pPr>
              <w:spacing w:before="40" w:after="40"/>
              <w:jc w:val="center"/>
              <w:rPr>
                <w:i/>
                <w:iCs/>
              </w:rPr>
            </w:pPr>
          </w:p>
        </w:tc>
        <w:tc>
          <w:tcPr>
            <w:tcW w:w="3240" w:type="dxa"/>
            <w:shd w:val="clear" w:color="auto" w:fill="auto"/>
            <w:vAlign w:val="center"/>
          </w:tcPr>
          <w:p w14:paraId="6A6EA011" w14:textId="5C939868" w:rsidR="00865D80" w:rsidRPr="00866A81" w:rsidRDefault="00865D80" w:rsidP="002E62BB">
            <w:pPr>
              <w:spacing w:before="40" w:after="40"/>
              <w:jc w:val="center"/>
              <w:rPr>
                <w:i/>
                <w:iCs/>
              </w:rPr>
            </w:pPr>
            <w:r w:rsidRPr="00866A81">
              <w:rPr>
                <w:i/>
                <w:iCs/>
              </w:rPr>
              <w:t>$</w:t>
            </w:r>
            <w:r w:rsidR="008825F0" w:rsidRPr="00866A81">
              <w:rPr>
                <w:i/>
                <w:iCs/>
              </w:rPr>
              <w:t>134,667.</w:t>
            </w:r>
            <w:r w:rsidR="00866A81">
              <w:rPr>
                <w:i/>
                <w:iCs/>
              </w:rPr>
              <w:t>72</w:t>
            </w:r>
          </w:p>
        </w:tc>
      </w:tr>
    </w:tbl>
    <w:p w14:paraId="198CDD72" w14:textId="77777777" w:rsidR="00D95A5C" w:rsidRDefault="00D95A5C" w:rsidP="00D332F1">
      <w:pPr>
        <w:rPr>
          <w:bCs/>
          <w:highlight w:val="yellow"/>
        </w:rPr>
      </w:pPr>
    </w:p>
    <w:p w14:paraId="14189D23" w14:textId="448FEC1F" w:rsidR="000237E8" w:rsidRDefault="00962E3E" w:rsidP="00D332F1">
      <w:pPr>
        <w:rPr>
          <w:bCs/>
        </w:rPr>
      </w:pPr>
      <w:r w:rsidRPr="00D95A5C">
        <w:rPr>
          <w:bCs/>
        </w:rPr>
        <w:t xml:space="preserve">In </w:t>
      </w:r>
      <w:r w:rsidR="00D95A5C" w:rsidRPr="00D95A5C">
        <w:rPr>
          <w:bCs/>
        </w:rPr>
        <w:t>2018</w:t>
      </w:r>
      <w:r w:rsidRPr="00D95A5C">
        <w:rPr>
          <w:bCs/>
        </w:rPr>
        <w:t>, the total expenditure amount per</w:t>
      </w:r>
      <w:r w:rsidR="00D95A5C" w:rsidRPr="00D95A5C">
        <w:rPr>
          <w:bCs/>
        </w:rPr>
        <w:t xml:space="preserve"> roll-off</w:t>
      </w:r>
      <w:r w:rsidRPr="00D95A5C">
        <w:rPr>
          <w:bCs/>
        </w:rPr>
        <w:t xml:space="preserve"> tandem was $</w:t>
      </w:r>
      <w:r w:rsidR="00D95A5C" w:rsidRPr="00D95A5C">
        <w:rPr>
          <w:bCs/>
        </w:rPr>
        <w:t>440,417.28</w:t>
      </w:r>
      <w:r w:rsidRPr="00D95A5C">
        <w:rPr>
          <w:bCs/>
        </w:rPr>
        <w:t xml:space="preserve"> (including </w:t>
      </w:r>
      <w:r w:rsidR="00D71FF7" w:rsidRPr="00D95A5C">
        <w:rPr>
          <w:bCs/>
        </w:rPr>
        <w:t>non-refundable</w:t>
      </w:r>
      <w:r w:rsidRPr="00D95A5C">
        <w:rPr>
          <w:bCs/>
        </w:rPr>
        <w:t xml:space="preserve"> portion of HST) compared to $</w:t>
      </w:r>
      <w:r w:rsidR="00D95A5C" w:rsidRPr="00D95A5C">
        <w:rPr>
          <w:rFonts w:cs="Arial"/>
        </w:rPr>
        <w:t>532,548.06</w:t>
      </w:r>
      <w:r w:rsidRPr="00D95A5C">
        <w:rPr>
          <w:bCs/>
        </w:rPr>
        <w:t xml:space="preserve"> per tandem in 202</w:t>
      </w:r>
      <w:r w:rsidR="00B032C9" w:rsidRPr="00D95A5C">
        <w:rPr>
          <w:bCs/>
        </w:rPr>
        <w:t>1</w:t>
      </w:r>
      <w:r w:rsidRPr="00D95A5C">
        <w:rPr>
          <w:bCs/>
        </w:rPr>
        <w:t xml:space="preserve">, </w:t>
      </w:r>
      <w:r w:rsidR="00D95A5C" w:rsidRPr="00D95A5C">
        <w:rPr>
          <w:bCs/>
        </w:rPr>
        <w:t xml:space="preserve">an increase of $92,130.78 </w:t>
      </w:r>
      <w:r w:rsidRPr="00D95A5C">
        <w:rPr>
          <w:bCs/>
        </w:rPr>
        <w:t xml:space="preserve">per </w:t>
      </w:r>
      <w:r w:rsidR="00D95A5C" w:rsidRPr="00D95A5C">
        <w:rPr>
          <w:bCs/>
        </w:rPr>
        <w:t>vehicle</w:t>
      </w:r>
      <w:r w:rsidRPr="00D95A5C">
        <w:rPr>
          <w:bCs/>
        </w:rPr>
        <w:t xml:space="preserve">.  </w:t>
      </w:r>
      <w:r w:rsidR="000237E8" w:rsidRPr="00D95A5C">
        <w:rPr>
          <w:bCs/>
        </w:rPr>
        <w:t xml:space="preserve">The </w:t>
      </w:r>
      <w:r w:rsidR="00D95A5C" w:rsidRPr="00D95A5C">
        <w:rPr>
          <w:bCs/>
        </w:rPr>
        <w:t>increase</w:t>
      </w:r>
      <w:r w:rsidR="004E1EBC" w:rsidRPr="00D95A5C">
        <w:rPr>
          <w:bCs/>
        </w:rPr>
        <w:t xml:space="preserve"> in the price is relating to </w:t>
      </w:r>
      <w:r w:rsidR="00D95A5C" w:rsidRPr="00D95A5C">
        <w:rPr>
          <w:bCs/>
        </w:rPr>
        <w:t>severe inflation relating to the current economic situation.</w:t>
      </w:r>
    </w:p>
    <w:p w14:paraId="3CFF16A3" w14:textId="385DA89C" w:rsidR="00705159" w:rsidRPr="00883957" w:rsidRDefault="00705159" w:rsidP="00D332F1">
      <w:pPr>
        <w:rPr>
          <w:bCs/>
        </w:rPr>
      </w:pPr>
      <w:r>
        <w:rPr>
          <w:bCs/>
        </w:rPr>
        <w:t>Staff are recommending the upgrade to a</w:t>
      </w:r>
      <w:r w:rsidR="006A5C8B">
        <w:rPr>
          <w:bCs/>
        </w:rPr>
        <w:t xml:space="preserve"> Lifetime warranty</w:t>
      </w:r>
      <w:r>
        <w:rPr>
          <w:bCs/>
        </w:rPr>
        <w:t xml:space="preserve"> stainless steel oil pan</w:t>
      </w:r>
      <w:r w:rsidR="006A5C8B">
        <w:rPr>
          <w:bCs/>
        </w:rPr>
        <w:t xml:space="preserve"> option</w:t>
      </w:r>
      <w:r>
        <w:rPr>
          <w:bCs/>
        </w:rPr>
        <w:t xml:space="preserve"> at a further cost of $</w:t>
      </w:r>
      <w:r w:rsidR="003E1917">
        <w:rPr>
          <w:bCs/>
        </w:rPr>
        <w:t>2,185.81</w:t>
      </w:r>
      <w:r>
        <w:rPr>
          <w:bCs/>
        </w:rPr>
        <w:t xml:space="preserve"> </w:t>
      </w:r>
      <w:r w:rsidR="00CB2CA5">
        <w:rPr>
          <w:bCs/>
        </w:rPr>
        <w:t xml:space="preserve">(including </w:t>
      </w:r>
      <w:r w:rsidR="00D71FF7">
        <w:rPr>
          <w:bCs/>
        </w:rPr>
        <w:t>non-refundable</w:t>
      </w:r>
      <w:r w:rsidR="00CB2CA5">
        <w:rPr>
          <w:bCs/>
        </w:rPr>
        <w:t xml:space="preserve"> portion of HST) </w:t>
      </w:r>
      <w:r>
        <w:rPr>
          <w:bCs/>
        </w:rPr>
        <w:t>per tandem</w:t>
      </w:r>
      <w:r w:rsidR="00CB2CA5">
        <w:rPr>
          <w:bCs/>
        </w:rPr>
        <w:t xml:space="preserve"> truck</w:t>
      </w:r>
      <w:r>
        <w:rPr>
          <w:bCs/>
        </w:rPr>
        <w:t xml:space="preserve">. Taking each truck to </w:t>
      </w:r>
      <w:r w:rsidR="00B156E7">
        <w:rPr>
          <w:bCs/>
        </w:rPr>
        <w:t>a total cost of $</w:t>
      </w:r>
      <w:r w:rsidR="003E1917">
        <w:rPr>
          <w:bCs/>
        </w:rPr>
        <w:t>4,371.62</w:t>
      </w:r>
      <w:r w:rsidR="00B156E7">
        <w:rPr>
          <w:bCs/>
        </w:rPr>
        <w:t xml:space="preserve"> </w:t>
      </w:r>
      <w:r w:rsidR="00D71FF7">
        <w:rPr>
          <w:bCs/>
        </w:rPr>
        <w:t>(including non-refundable portion of HST).</w:t>
      </w:r>
    </w:p>
    <w:p w14:paraId="3453BB85" w14:textId="3C865216" w:rsidR="000A6FEA" w:rsidRPr="00DD38CF" w:rsidRDefault="00D332F1" w:rsidP="00D332F1">
      <w:pPr>
        <w:rPr>
          <w:bCs/>
        </w:rPr>
      </w:pPr>
      <w:r w:rsidRPr="00D95A5C">
        <w:rPr>
          <w:bCs/>
        </w:rPr>
        <w:t xml:space="preserve">The total tendered expenditure amount, including the </w:t>
      </w:r>
      <w:r w:rsidR="00D71FF7" w:rsidRPr="00D95A5C">
        <w:rPr>
          <w:bCs/>
        </w:rPr>
        <w:t>non-refundable</w:t>
      </w:r>
      <w:r w:rsidRPr="00D95A5C">
        <w:rPr>
          <w:bCs/>
        </w:rPr>
        <w:t xml:space="preserve"> portion of HST</w:t>
      </w:r>
      <w:r w:rsidR="00D71FF7" w:rsidRPr="00D95A5C">
        <w:rPr>
          <w:bCs/>
        </w:rPr>
        <w:t>,</w:t>
      </w:r>
      <w:r w:rsidRPr="00D95A5C">
        <w:rPr>
          <w:bCs/>
        </w:rPr>
        <w:t xml:space="preserve"> is </w:t>
      </w:r>
      <w:r w:rsidRPr="00DD38CF">
        <w:rPr>
          <w:bCs/>
        </w:rPr>
        <w:t>$</w:t>
      </w:r>
      <w:r w:rsidR="003E1917" w:rsidRPr="00DD38CF">
        <w:rPr>
          <w:bCs/>
        </w:rPr>
        <w:t>1,069,467.72</w:t>
      </w:r>
      <w:r w:rsidR="00811ADC" w:rsidRPr="00DD38CF">
        <w:rPr>
          <w:bCs/>
        </w:rPr>
        <w:t xml:space="preserve"> for two International brand trucks</w:t>
      </w:r>
      <w:r w:rsidR="00522830" w:rsidRPr="00DD38CF">
        <w:rPr>
          <w:bCs/>
        </w:rPr>
        <w:t>.</w:t>
      </w:r>
      <w:r w:rsidR="007F6C52" w:rsidRPr="00DD38CF">
        <w:rPr>
          <w:bCs/>
        </w:rPr>
        <w:t xml:space="preserve"> </w:t>
      </w:r>
      <w:r w:rsidR="00883957" w:rsidRPr="00DD38CF">
        <w:rPr>
          <w:bCs/>
        </w:rPr>
        <w:t xml:space="preserve"> </w:t>
      </w:r>
      <w:r w:rsidR="00EF05BB" w:rsidRPr="00DD38CF">
        <w:rPr>
          <w:bCs/>
        </w:rPr>
        <w:t xml:space="preserve">The </w:t>
      </w:r>
      <w:r w:rsidR="00D71FF7" w:rsidRPr="00DD38CF">
        <w:rPr>
          <w:bCs/>
        </w:rPr>
        <w:t>amount contained in the 202</w:t>
      </w:r>
      <w:r w:rsidR="00556DF3" w:rsidRPr="00DD38CF">
        <w:rPr>
          <w:bCs/>
        </w:rPr>
        <w:t>2</w:t>
      </w:r>
      <w:r w:rsidR="00D71FF7" w:rsidRPr="00DD38CF">
        <w:rPr>
          <w:bCs/>
        </w:rPr>
        <w:t xml:space="preserve"> Budget</w:t>
      </w:r>
      <w:r w:rsidR="004E1EBC" w:rsidRPr="00DD38CF">
        <w:rPr>
          <w:bCs/>
        </w:rPr>
        <w:t xml:space="preserve"> is </w:t>
      </w:r>
      <w:r w:rsidR="00FD79C3" w:rsidRPr="00DD38CF">
        <w:rPr>
          <w:bCs/>
        </w:rPr>
        <w:t>$</w:t>
      </w:r>
      <w:r w:rsidR="00556DF3" w:rsidRPr="00DD38CF">
        <w:rPr>
          <w:bCs/>
        </w:rPr>
        <w:t>934,800</w:t>
      </w:r>
      <w:r w:rsidR="00EF05BB" w:rsidRPr="00DD38CF">
        <w:rPr>
          <w:bCs/>
        </w:rPr>
        <w:t>.</w:t>
      </w:r>
    </w:p>
    <w:p w14:paraId="5BCDE5EA" w14:textId="0597D141" w:rsidR="00D332F1" w:rsidRDefault="0012773A" w:rsidP="00D332F1">
      <w:pPr>
        <w:rPr>
          <w:bCs/>
        </w:rPr>
      </w:pPr>
      <w:r w:rsidRPr="00143E92">
        <w:rPr>
          <w:bCs/>
        </w:rPr>
        <w:t xml:space="preserve">Equipment purchases are funded by the </w:t>
      </w:r>
      <w:r w:rsidR="006170C7" w:rsidRPr="00143E92">
        <w:rPr>
          <w:bCs/>
        </w:rPr>
        <w:t>S</w:t>
      </w:r>
      <w:r w:rsidRPr="00143E92">
        <w:rPr>
          <w:bCs/>
        </w:rPr>
        <w:t xml:space="preserve">ale of </w:t>
      </w:r>
      <w:r w:rsidR="006170C7" w:rsidRPr="00143E92">
        <w:rPr>
          <w:bCs/>
        </w:rPr>
        <w:t>E</w:t>
      </w:r>
      <w:r w:rsidRPr="00143E92">
        <w:rPr>
          <w:bCs/>
        </w:rPr>
        <w:t xml:space="preserve">quipment and the </w:t>
      </w:r>
      <w:r w:rsidR="00CB2CA5">
        <w:rPr>
          <w:bCs/>
        </w:rPr>
        <w:t xml:space="preserve">Transportation Services </w:t>
      </w:r>
      <w:r w:rsidRPr="00143E92">
        <w:rPr>
          <w:bCs/>
        </w:rPr>
        <w:t>Equipment Replacement Reserve Fund.</w:t>
      </w:r>
      <w:r w:rsidR="00F30DB1">
        <w:rPr>
          <w:bCs/>
        </w:rPr>
        <w:t xml:space="preserve"> </w:t>
      </w:r>
      <w:r w:rsidR="00883957">
        <w:rPr>
          <w:bCs/>
        </w:rPr>
        <w:t xml:space="preserve"> </w:t>
      </w:r>
      <w:r w:rsidR="00F30DB1">
        <w:rPr>
          <w:bCs/>
        </w:rPr>
        <w:t xml:space="preserve">The </w:t>
      </w:r>
      <w:r w:rsidR="00CB2CA5">
        <w:rPr>
          <w:bCs/>
        </w:rPr>
        <w:t xml:space="preserve">Transportation Services </w:t>
      </w:r>
      <w:r w:rsidR="00CB2CA5" w:rsidRPr="00143E92">
        <w:rPr>
          <w:bCs/>
        </w:rPr>
        <w:t>Equipment Replacement Reserve Fund</w:t>
      </w:r>
      <w:r w:rsidR="00F30DB1">
        <w:rPr>
          <w:bCs/>
        </w:rPr>
        <w:t xml:space="preserve"> is evaluated </w:t>
      </w:r>
      <w:r w:rsidR="000A6FEA">
        <w:rPr>
          <w:bCs/>
        </w:rPr>
        <w:t>annually,</w:t>
      </w:r>
      <w:r w:rsidR="00F30DB1">
        <w:rPr>
          <w:bCs/>
        </w:rPr>
        <w:t xml:space="preserve"> and adjustments are made to accommodate price </w:t>
      </w:r>
      <w:r w:rsidR="00F30DB1" w:rsidRPr="002622AC">
        <w:rPr>
          <w:bCs/>
        </w:rPr>
        <w:t>fluctuations.</w:t>
      </w:r>
      <w:r w:rsidR="00CB2CA5" w:rsidRPr="002622AC">
        <w:rPr>
          <w:bCs/>
        </w:rPr>
        <w:t xml:space="preserve"> The Transportation Services Equipment Replacement Reserve Fund has an estimated </w:t>
      </w:r>
      <w:r w:rsidR="00865D80" w:rsidRPr="002622AC">
        <w:rPr>
          <w:bCs/>
        </w:rPr>
        <w:t>202</w:t>
      </w:r>
      <w:r w:rsidR="00556DF3" w:rsidRPr="002622AC">
        <w:rPr>
          <w:bCs/>
        </w:rPr>
        <w:t>2</w:t>
      </w:r>
      <w:r w:rsidR="00865D80" w:rsidRPr="002622AC">
        <w:rPr>
          <w:bCs/>
        </w:rPr>
        <w:t>-year</w:t>
      </w:r>
      <w:r w:rsidR="00CB2CA5" w:rsidRPr="002622AC">
        <w:rPr>
          <w:bCs/>
        </w:rPr>
        <w:t xml:space="preserve"> end balance of $</w:t>
      </w:r>
      <w:r w:rsidR="002622AC" w:rsidRPr="002622AC">
        <w:rPr>
          <w:bCs/>
        </w:rPr>
        <w:t>1,133,612</w:t>
      </w:r>
      <w:r w:rsidR="00D71FF7" w:rsidRPr="002622AC">
        <w:rPr>
          <w:bCs/>
        </w:rPr>
        <w:t>.</w:t>
      </w:r>
    </w:p>
    <w:bookmarkEnd w:id="1"/>
    <w:p w14:paraId="0284D931" w14:textId="420C59F3" w:rsidR="00AC3A8B" w:rsidRPr="00580AAD" w:rsidRDefault="002E32B0" w:rsidP="006E00FA">
      <w:pPr>
        <w:pStyle w:val="Heading2"/>
        <w:keepNext w:val="0"/>
        <w:widowControl w:val="0"/>
      </w:pPr>
      <w:r>
        <w:t>Relevant Consultation</w:t>
      </w:r>
    </w:p>
    <w:p w14:paraId="25AC375C" w14:textId="2E63EC44" w:rsidR="00522830" w:rsidRDefault="007660DB" w:rsidP="007F6C52">
      <w:pPr>
        <w:widowControl w:val="0"/>
        <w:ind w:left="720" w:hanging="720"/>
      </w:pPr>
      <w:sdt>
        <w:sdtPr>
          <w:rPr>
            <w:rFonts w:cs="Arial"/>
          </w:rPr>
          <w:id w:val="-1131168753"/>
          <w14:checkbox>
            <w14:checked w14:val="1"/>
            <w14:checkedState w14:val="2612" w14:font="MS Gothic"/>
            <w14:uncheckedState w14:val="2610" w14:font="MS Gothic"/>
          </w14:checkbox>
        </w:sdtPr>
        <w:sdtEndPr/>
        <w:sdtContent>
          <w:r w:rsidR="00615475" w:rsidRPr="007F6C52">
            <w:rPr>
              <w:rFonts w:ascii="Segoe UI Symbol" w:hAnsi="Segoe UI Symbol" w:cs="Segoe UI Symbol"/>
            </w:rPr>
            <w:t>☒</w:t>
          </w:r>
        </w:sdtContent>
      </w:sdt>
      <w:r w:rsidR="007F6C52" w:rsidRPr="007F6C52">
        <w:rPr>
          <w:rFonts w:cs="Arial"/>
        </w:rPr>
        <w:tab/>
      </w:r>
      <w:r w:rsidR="0077581D" w:rsidRPr="007F6C52">
        <w:rPr>
          <w:rFonts w:cs="Arial"/>
        </w:rPr>
        <w:t>Internal</w:t>
      </w:r>
      <w:r w:rsidR="00C14CD6">
        <w:br/>
        <w:t>Finance Department</w:t>
      </w:r>
    </w:p>
    <w:p w14:paraId="343D15CF" w14:textId="21EC2858" w:rsidR="002E32B0" w:rsidRDefault="007660DB" w:rsidP="006E00FA">
      <w:pPr>
        <w:widowControl w:val="0"/>
      </w:pPr>
      <w:sdt>
        <w:sdtPr>
          <w:id w:val="-650440191"/>
          <w14:checkbox>
            <w14:checked w14:val="0"/>
            <w14:checkedState w14:val="2612" w14:font="MS Gothic"/>
            <w14:uncheckedState w14:val="2610" w14:font="MS Gothic"/>
          </w14:checkbox>
        </w:sdtPr>
        <w:sdtEndPr/>
        <w:sdtContent>
          <w:r w:rsidR="002E32B0">
            <w:rPr>
              <w:rFonts w:ascii="MS Gothic" w:eastAsia="MS Gothic" w:hAnsi="MS Gothic" w:hint="eastAsia"/>
            </w:rPr>
            <w:t>☐</w:t>
          </w:r>
        </w:sdtContent>
      </w:sdt>
      <w:r w:rsidR="007F6C52">
        <w:tab/>
      </w:r>
      <w:r w:rsidR="0077581D">
        <w:t>External</w:t>
      </w:r>
    </w:p>
    <w:p w14:paraId="6D7EA5A2" w14:textId="246A5B18" w:rsidR="001272D9" w:rsidRDefault="002E32B0" w:rsidP="002E32B0">
      <w:pPr>
        <w:pStyle w:val="Heading3"/>
      </w:pPr>
      <w:r>
        <w:t>Appendices and Attachments</w:t>
      </w:r>
    </w:p>
    <w:p w14:paraId="79B7A7D9" w14:textId="7A7DD11A" w:rsidR="003E1917" w:rsidRDefault="007660DB" w:rsidP="00FD79C3">
      <w:hyperlink r:id="rId9" w:history="1">
        <w:r w:rsidR="003E1917">
          <w:rPr>
            <w:rStyle w:val="Hyperlink"/>
          </w:rPr>
          <w:t>TR-CW-19-21 Equipment Purchase Prior to 2022 Budget Approval</w:t>
        </w:r>
      </w:hyperlink>
    </w:p>
    <w:p w14:paraId="144E12BB" w14:textId="77777777" w:rsidR="003E1917" w:rsidRDefault="003E1917" w:rsidP="00FD79C3"/>
    <w:p w14:paraId="4F168F41" w14:textId="77777777" w:rsidR="00FD79C3" w:rsidRPr="00FD79C3" w:rsidRDefault="00FD79C3" w:rsidP="00FD79C3"/>
    <w:sectPr w:rsidR="00FD79C3" w:rsidRPr="00FD79C3" w:rsidSect="007E472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C687" w14:textId="77777777" w:rsidR="00DF20C2" w:rsidRDefault="00DF20C2" w:rsidP="00883D8D">
      <w:pPr>
        <w:spacing w:after="0" w:line="240" w:lineRule="auto"/>
      </w:pPr>
      <w:r>
        <w:separator/>
      </w:r>
    </w:p>
    <w:p w14:paraId="0D5F2E92" w14:textId="77777777" w:rsidR="00DF20C2" w:rsidRDefault="00DF20C2"/>
  </w:endnote>
  <w:endnote w:type="continuationSeparator" w:id="0">
    <w:p w14:paraId="2D87D094" w14:textId="77777777" w:rsidR="00DF20C2" w:rsidRDefault="00DF20C2" w:rsidP="00883D8D">
      <w:pPr>
        <w:spacing w:after="0" w:line="240" w:lineRule="auto"/>
      </w:pPr>
      <w:r>
        <w:continuationSeparator/>
      </w:r>
    </w:p>
    <w:p w14:paraId="4E59803A" w14:textId="77777777" w:rsidR="00DF20C2" w:rsidRDefault="00DF2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D941" w14:textId="005C0CAA" w:rsidR="007E4720" w:rsidRPr="007E4720" w:rsidRDefault="00615475" w:rsidP="007E4720">
    <w:pPr>
      <w:pStyle w:val="Footer"/>
    </w:pPr>
    <w:r>
      <w:t>TR-CW</w:t>
    </w:r>
    <w:r w:rsidR="00567AB5">
      <w:t>-</w:t>
    </w:r>
    <w:r w:rsidR="00226F6A">
      <w:t>0</w:t>
    </w:r>
    <w:r w:rsidR="009D379C">
      <w:t>3</w:t>
    </w:r>
    <w:r>
      <w:t>-</w:t>
    </w:r>
    <w:r w:rsidR="00276BE2">
      <w:t>2</w:t>
    </w:r>
    <w:r w:rsidR="009D379C">
      <w:t>2</w:t>
    </w:r>
    <w:r w:rsidR="00567AB5">
      <w:ptab w:relativeTo="margin" w:alignment="center" w:leader="none"/>
    </w:r>
    <w:r w:rsidR="00567AB5">
      <w:ptab w:relativeTo="margin" w:alignment="right" w:leader="none"/>
    </w:r>
    <w:r>
      <w:t xml:space="preserve">January </w:t>
    </w:r>
    <w:r w:rsidR="0009697D">
      <w:t>1</w:t>
    </w:r>
    <w:r w:rsidR="009D379C">
      <w:t>3</w:t>
    </w:r>
    <w:r>
      <w:t>, 20</w:t>
    </w:r>
    <w:r w:rsidR="00276BE2">
      <w:t>2</w:t>
    </w:r>
    <w:r w:rsidR="009D379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57A0" w14:textId="77777777" w:rsidR="00DF20C2" w:rsidRDefault="00DF20C2" w:rsidP="00883D8D">
      <w:pPr>
        <w:spacing w:after="0" w:line="240" w:lineRule="auto"/>
      </w:pPr>
      <w:r>
        <w:separator/>
      </w:r>
    </w:p>
    <w:p w14:paraId="4A3A9C38" w14:textId="77777777" w:rsidR="00DF20C2" w:rsidRDefault="00DF20C2"/>
  </w:footnote>
  <w:footnote w:type="continuationSeparator" w:id="0">
    <w:p w14:paraId="0D0FBDA4" w14:textId="77777777" w:rsidR="00DF20C2" w:rsidRDefault="00DF20C2" w:rsidP="00883D8D">
      <w:pPr>
        <w:spacing w:after="0" w:line="240" w:lineRule="auto"/>
      </w:pPr>
      <w:r>
        <w:continuationSeparator/>
      </w:r>
    </w:p>
    <w:p w14:paraId="2FEB02CA" w14:textId="77777777" w:rsidR="00DF20C2" w:rsidRDefault="00DF20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579"/>
    <w:multiLevelType w:val="hybridMultilevel"/>
    <w:tmpl w:val="276CA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91346"/>
    <w:multiLevelType w:val="hybridMultilevel"/>
    <w:tmpl w:val="73D0571A"/>
    <w:lvl w:ilvl="0" w:tplc="879E58AA">
      <w:start w:val="1"/>
      <w:numFmt w:val="decimal"/>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B56ABD"/>
    <w:multiLevelType w:val="hybridMultilevel"/>
    <w:tmpl w:val="5B5A27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4AD9"/>
    <w:rsid w:val="000237E8"/>
    <w:rsid w:val="000347A2"/>
    <w:rsid w:val="00047A0A"/>
    <w:rsid w:val="00071CC1"/>
    <w:rsid w:val="00074F10"/>
    <w:rsid w:val="00081FCF"/>
    <w:rsid w:val="0009697D"/>
    <w:rsid w:val="000A6FEA"/>
    <w:rsid w:val="000B5253"/>
    <w:rsid w:val="000B7C11"/>
    <w:rsid w:val="00113FCB"/>
    <w:rsid w:val="001272D9"/>
    <w:rsid w:val="0012773A"/>
    <w:rsid w:val="00143E92"/>
    <w:rsid w:val="001919C4"/>
    <w:rsid w:val="001F0850"/>
    <w:rsid w:val="001F1D7C"/>
    <w:rsid w:val="00225BC6"/>
    <w:rsid w:val="00226F6A"/>
    <w:rsid w:val="00247CA8"/>
    <w:rsid w:val="002622AC"/>
    <w:rsid w:val="0027247E"/>
    <w:rsid w:val="00276BE2"/>
    <w:rsid w:val="00286FBD"/>
    <w:rsid w:val="002915BC"/>
    <w:rsid w:val="0029466F"/>
    <w:rsid w:val="002C6064"/>
    <w:rsid w:val="002E05AC"/>
    <w:rsid w:val="002E32B0"/>
    <w:rsid w:val="002E439C"/>
    <w:rsid w:val="003062A4"/>
    <w:rsid w:val="00312D86"/>
    <w:rsid w:val="0032700D"/>
    <w:rsid w:val="00376E79"/>
    <w:rsid w:val="003A771C"/>
    <w:rsid w:val="003E1917"/>
    <w:rsid w:val="004216D5"/>
    <w:rsid w:val="00425A74"/>
    <w:rsid w:val="00446A72"/>
    <w:rsid w:val="00457F2B"/>
    <w:rsid w:val="00464176"/>
    <w:rsid w:val="004942B7"/>
    <w:rsid w:val="004A23A4"/>
    <w:rsid w:val="004E1EBC"/>
    <w:rsid w:val="004F083D"/>
    <w:rsid w:val="00516E8C"/>
    <w:rsid w:val="00522830"/>
    <w:rsid w:val="00556DF3"/>
    <w:rsid w:val="00567AB5"/>
    <w:rsid w:val="0057322F"/>
    <w:rsid w:val="0058596E"/>
    <w:rsid w:val="00597244"/>
    <w:rsid w:val="005A360A"/>
    <w:rsid w:val="005B3961"/>
    <w:rsid w:val="005E54ED"/>
    <w:rsid w:val="00602646"/>
    <w:rsid w:val="00615475"/>
    <w:rsid w:val="006170C7"/>
    <w:rsid w:val="006364B3"/>
    <w:rsid w:val="00644370"/>
    <w:rsid w:val="006522E9"/>
    <w:rsid w:val="006563A9"/>
    <w:rsid w:val="0068510A"/>
    <w:rsid w:val="00685CB3"/>
    <w:rsid w:val="006A5C8B"/>
    <w:rsid w:val="006B264B"/>
    <w:rsid w:val="006B4C34"/>
    <w:rsid w:val="006B6ACA"/>
    <w:rsid w:val="006C0F24"/>
    <w:rsid w:val="006C29A1"/>
    <w:rsid w:val="006E00FA"/>
    <w:rsid w:val="00705159"/>
    <w:rsid w:val="00747104"/>
    <w:rsid w:val="00754865"/>
    <w:rsid w:val="007660DB"/>
    <w:rsid w:val="0077581D"/>
    <w:rsid w:val="007C5FFF"/>
    <w:rsid w:val="007D7D83"/>
    <w:rsid w:val="007E41F5"/>
    <w:rsid w:val="007E4720"/>
    <w:rsid w:val="007F6C52"/>
    <w:rsid w:val="00811ADC"/>
    <w:rsid w:val="00816DA7"/>
    <w:rsid w:val="00836315"/>
    <w:rsid w:val="00865D80"/>
    <w:rsid w:val="00866A81"/>
    <w:rsid w:val="008825F0"/>
    <w:rsid w:val="00883957"/>
    <w:rsid w:val="00883D8D"/>
    <w:rsid w:val="00895616"/>
    <w:rsid w:val="00896295"/>
    <w:rsid w:val="008D60C9"/>
    <w:rsid w:val="00934912"/>
    <w:rsid w:val="00953DFC"/>
    <w:rsid w:val="00962E3E"/>
    <w:rsid w:val="00992841"/>
    <w:rsid w:val="009A31DB"/>
    <w:rsid w:val="009D379C"/>
    <w:rsid w:val="00A23B24"/>
    <w:rsid w:val="00A26CAD"/>
    <w:rsid w:val="00A52D13"/>
    <w:rsid w:val="00A607A3"/>
    <w:rsid w:val="00A63BE0"/>
    <w:rsid w:val="00A63DD6"/>
    <w:rsid w:val="00A85D36"/>
    <w:rsid w:val="00AA5E09"/>
    <w:rsid w:val="00AB2197"/>
    <w:rsid w:val="00AC3A8B"/>
    <w:rsid w:val="00AE3964"/>
    <w:rsid w:val="00B032C9"/>
    <w:rsid w:val="00B12CC6"/>
    <w:rsid w:val="00B156E7"/>
    <w:rsid w:val="00B25569"/>
    <w:rsid w:val="00B64986"/>
    <w:rsid w:val="00B7545F"/>
    <w:rsid w:val="00B81EA9"/>
    <w:rsid w:val="00B97DD0"/>
    <w:rsid w:val="00BB50B4"/>
    <w:rsid w:val="00BC0C64"/>
    <w:rsid w:val="00C14CD6"/>
    <w:rsid w:val="00C30368"/>
    <w:rsid w:val="00C3574F"/>
    <w:rsid w:val="00C578E3"/>
    <w:rsid w:val="00C64429"/>
    <w:rsid w:val="00C70DA7"/>
    <w:rsid w:val="00CB2CA5"/>
    <w:rsid w:val="00CB4CCF"/>
    <w:rsid w:val="00CD55AA"/>
    <w:rsid w:val="00CD64E9"/>
    <w:rsid w:val="00CE439D"/>
    <w:rsid w:val="00CF0CF7"/>
    <w:rsid w:val="00CF4AA5"/>
    <w:rsid w:val="00D254D8"/>
    <w:rsid w:val="00D332F1"/>
    <w:rsid w:val="00D422C9"/>
    <w:rsid w:val="00D71FF7"/>
    <w:rsid w:val="00D95A5C"/>
    <w:rsid w:val="00DC1FF0"/>
    <w:rsid w:val="00DC7E5F"/>
    <w:rsid w:val="00DD38CF"/>
    <w:rsid w:val="00DF20C2"/>
    <w:rsid w:val="00E1676A"/>
    <w:rsid w:val="00E32F4D"/>
    <w:rsid w:val="00EF05BB"/>
    <w:rsid w:val="00F30DB1"/>
    <w:rsid w:val="00F97CF2"/>
    <w:rsid w:val="00FB203E"/>
    <w:rsid w:val="00FB7D9B"/>
    <w:rsid w:val="00FC1182"/>
    <w:rsid w:val="00FC5561"/>
    <w:rsid w:val="00FD79C3"/>
    <w:rsid w:val="00FE717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284D922"/>
  <w15:docId w15:val="{8AC5B9D6-E2A7-42E8-B09C-29AA248C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0DB"/>
    <w:rPr>
      <w:rFonts w:ascii="Arial" w:hAnsi="Arial"/>
      <w:sz w:val="24"/>
      <w:szCs w:val="24"/>
    </w:rPr>
  </w:style>
  <w:style w:type="paragraph" w:styleId="Heading1">
    <w:name w:val="heading 1"/>
    <w:basedOn w:val="Normal"/>
    <w:next w:val="Normal"/>
    <w:link w:val="Heading1Char"/>
    <w:uiPriority w:val="9"/>
    <w:qFormat/>
    <w:rsid w:val="007660DB"/>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7660DB"/>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7660DB"/>
    <w:pPr>
      <w:outlineLvl w:val="2"/>
    </w:pPr>
    <w:rPr>
      <w:rFonts w:cs="Arial"/>
      <w:i w:val="0"/>
    </w:rPr>
  </w:style>
  <w:style w:type="paragraph" w:styleId="Heading4">
    <w:name w:val="heading 4"/>
    <w:basedOn w:val="Normal"/>
    <w:next w:val="Normal"/>
    <w:link w:val="Heading4Char"/>
    <w:uiPriority w:val="9"/>
    <w:unhideWhenUsed/>
    <w:qFormat/>
    <w:rsid w:val="007660DB"/>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7660DB"/>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7660DB"/>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7660D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7660D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7660D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7660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60DB"/>
  </w:style>
  <w:style w:type="character" w:customStyle="1" w:styleId="Heading1Char">
    <w:name w:val="Heading 1 Char"/>
    <w:basedOn w:val="DefaultParagraphFont"/>
    <w:link w:val="Heading1"/>
    <w:uiPriority w:val="9"/>
    <w:rsid w:val="007660DB"/>
    <w:rPr>
      <w:rFonts w:ascii="Arial" w:eastAsiaTheme="majorEastAsia" w:hAnsi="Arial" w:cstheme="majorBidi"/>
      <w:sz w:val="40"/>
    </w:rPr>
  </w:style>
  <w:style w:type="character" w:customStyle="1" w:styleId="Heading2Char">
    <w:name w:val="Heading 2 Char"/>
    <w:basedOn w:val="DefaultParagraphFont"/>
    <w:link w:val="Heading2"/>
    <w:uiPriority w:val="9"/>
    <w:rsid w:val="007660DB"/>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7660DB"/>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7660DB"/>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7660DB"/>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7660DB"/>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7660D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7660DB"/>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7660DB"/>
    <w:rPr>
      <w:rFonts w:ascii="Arial" w:eastAsiaTheme="majorEastAsia" w:hAnsi="Arial" w:cstheme="majorBidi"/>
      <w:i/>
      <w:iCs/>
      <w:sz w:val="24"/>
    </w:rPr>
  </w:style>
  <w:style w:type="paragraph" w:styleId="Title">
    <w:name w:val="Title"/>
    <w:basedOn w:val="Normal"/>
    <w:next w:val="Normal"/>
    <w:link w:val="TitleChar"/>
    <w:uiPriority w:val="9"/>
    <w:qFormat/>
    <w:rsid w:val="007660DB"/>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7660DB"/>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7660DB"/>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7660DB"/>
    <w:rPr>
      <w:rFonts w:ascii="Arial" w:eastAsiaTheme="majorEastAsia" w:hAnsi="Arial" w:cstheme="majorBidi"/>
      <w:i/>
      <w:iCs/>
      <w:spacing w:val="15"/>
      <w:sz w:val="24"/>
      <w:szCs w:val="24"/>
    </w:rPr>
  </w:style>
  <w:style w:type="character" w:styleId="Strong">
    <w:name w:val="Strong"/>
    <w:basedOn w:val="DefaultParagraphFont"/>
    <w:uiPriority w:val="22"/>
    <w:qFormat/>
    <w:rsid w:val="007660DB"/>
    <w:rPr>
      <w:rFonts w:ascii="Arial" w:hAnsi="Arial"/>
      <w:b/>
      <w:bCs/>
    </w:rPr>
  </w:style>
  <w:style w:type="character" w:styleId="Emphasis">
    <w:name w:val="Emphasis"/>
    <w:basedOn w:val="DefaultParagraphFont"/>
    <w:uiPriority w:val="20"/>
    <w:qFormat/>
    <w:rsid w:val="007660DB"/>
    <w:rPr>
      <w:rFonts w:ascii="Arial" w:hAnsi="Arial"/>
      <w:i/>
      <w:iCs/>
    </w:rPr>
  </w:style>
  <w:style w:type="paragraph" w:styleId="NoSpacing">
    <w:name w:val="No Spacing"/>
    <w:uiPriority w:val="1"/>
    <w:qFormat/>
    <w:rsid w:val="007660DB"/>
    <w:pPr>
      <w:spacing w:after="0" w:line="240" w:lineRule="auto"/>
    </w:pPr>
    <w:rPr>
      <w:rFonts w:ascii="Arial" w:hAnsi="Arial" w:cs="Arial"/>
      <w:bCs/>
      <w:sz w:val="24"/>
      <w:szCs w:val="24"/>
    </w:rPr>
  </w:style>
  <w:style w:type="paragraph" w:styleId="ListParagraph">
    <w:name w:val="List Paragraph"/>
    <w:basedOn w:val="Normal"/>
    <w:uiPriority w:val="34"/>
    <w:qFormat/>
    <w:rsid w:val="007660DB"/>
    <w:pPr>
      <w:ind w:left="720"/>
      <w:contextualSpacing/>
    </w:pPr>
  </w:style>
  <w:style w:type="paragraph" w:styleId="Quote">
    <w:name w:val="Quote"/>
    <w:basedOn w:val="Normal"/>
    <w:next w:val="Normal"/>
    <w:link w:val="QuoteChar"/>
    <w:uiPriority w:val="29"/>
    <w:qFormat/>
    <w:rsid w:val="007660DB"/>
    <w:rPr>
      <w:i/>
      <w:iCs/>
      <w:color w:val="000000" w:themeColor="text1"/>
    </w:rPr>
  </w:style>
  <w:style w:type="character" w:customStyle="1" w:styleId="QuoteChar">
    <w:name w:val="Quote Char"/>
    <w:basedOn w:val="DefaultParagraphFont"/>
    <w:link w:val="Quote"/>
    <w:uiPriority w:val="29"/>
    <w:rsid w:val="007660DB"/>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7660DB"/>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660DB"/>
    <w:rPr>
      <w:rFonts w:ascii="Arial" w:hAnsi="Arial"/>
      <w:b/>
      <w:bCs/>
      <w:i/>
      <w:iCs/>
      <w:sz w:val="24"/>
      <w:szCs w:val="24"/>
    </w:rPr>
  </w:style>
  <w:style w:type="character" w:styleId="SubtleEmphasis">
    <w:name w:val="Subtle Emphasis"/>
    <w:basedOn w:val="DefaultParagraphFont"/>
    <w:uiPriority w:val="19"/>
    <w:qFormat/>
    <w:rsid w:val="007660DB"/>
    <w:rPr>
      <w:rFonts w:ascii="Arial" w:hAnsi="Arial"/>
      <w:i/>
      <w:iCs/>
      <w:color w:val="808080" w:themeColor="text1" w:themeTint="7F"/>
    </w:rPr>
  </w:style>
  <w:style w:type="character" w:styleId="IntenseEmphasis">
    <w:name w:val="Intense Emphasis"/>
    <w:basedOn w:val="DefaultParagraphFont"/>
    <w:uiPriority w:val="21"/>
    <w:qFormat/>
    <w:rsid w:val="007660DB"/>
    <w:rPr>
      <w:rFonts w:ascii="Arial" w:hAnsi="Arial"/>
      <w:b/>
      <w:bCs/>
    </w:rPr>
  </w:style>
  <w:style w:type="character" w:styleId="SubtleReference">
    <w:name w:val="Subtle Reference"/>
    <w:basedOn w:val="DefaultParagraphFont"/>
    <w:uiPriority w:val="31"/>
    <w:qFormat/>
    <w:rsid w:val="007660DB"/>
    <w:rPr>
      <w:rFonts w:ascii="Arial" w:hAnsi="Arial"/>
      <w:smallCaps/>
      <w:color w:val="C0504D" w:themeColor="accent2"/>
      <w:u w:val="single"/>
    </w:rPr>
  </w:style>
  <w:style w:type="character" w:styleId="Hyperlink">
    <w:name w:val="Hyperlink"/>
    <w:basedOn w:val="DefaultParagraphFont"/>
    <w:uiPriority w:val="99"/>
    <w:unhideWhenUsed/>
    <w:rsid w:val="007660DB"/>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7660DB"/>
    <w:rPr>
      <w:b/>
      <w:bCs/>
      <w:smallCaps/>
      <w:color w:val="C0504D" w:themeColor="accent2"/>
      <w:spacing w:val="5"/>
      <w:u w:val="single"/>
    </w:rPr>
  </w:style>
  <w:style w:type="character" w:styleId="BookTitle">
    <w:name w:val="Book Title"/>
    <w:basedOn w:val="DefaultParagraphFont"/>
    <w:uiPriority w:val="33"/>
    <w:qFormat/>
    <w:rsid w:val="007660DB"/>
    <w:rPr>
      <w:b/>
      <w:bCs/>
      <w:smallCaps/>
      <w:spacing w:val="5"/>
    </w:rPr>
  </w:style>
  <w:style w:type="character" w:styleId="FollowedHyperlink">
    <w:name w:val="FollowedHyperlink"/>
    <w:basedOn w:val="DefaultParagraphFont"/>
    <w:uiPriority w:val="99"/>
    <w:semiHidden/>
    <w:unhideWhenUsed/>
    <w:rsid w:val="007660DB"/>
    <w:rPr>
      <w:color w:val="800080" w:themeColor="followedHyperlink"/>
      <w:u w:val="single"/>
    </w:rPr>
  </w:style>
  <w:style w:type="paragraph" w:customStyle="1" w:styleId="AppleFill">
    <w:name w:val="Apple Fill"/>
    <w:basedOn w:val="Normal"/>
    <w:link w:val="AppleFillChar"/>
    <w:uiPriority w:val="10"/>
    <w:qFormat/>
    <w:rsid w:val="007660DB"/>
    <w:rPr>
      <w:b/>
      <w:color w:val="FFFFFF" w:themeColor="background1"/>
      <w:shd w:val="clear" w:color="auto" w:fill="9BBB59" w:themeFill="accent3"/>
    </w:rPr>
  </w:style>
  <w:style w:type="paragraph" w:customStyle="1" w:styleId="AquaFill">
    <w:name w:val="Aqua Fill"/>
    <w:basedOn w:val="Normal"/>
    <w:link w:val="AquaFillChar"/>
    <w:uiPriority w:val="10"/>
    <w:qFormat/>
    <w:rsid w:val="007660DB"/>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7660DB"/>
    <w:rPr>
      <w:rFonts w:ascii="Arial" w:hAnsi="Arial"/>
      <w:b/>
      <w:color w:val="FFFFFF" w:themeColor="background1"/>
      <w:sz w:val="24"/>
      <w:szCs w:val="24"/>
    </w:rPr>
  </w:style>
  <w:style w:type="paragraph" w:customStyle="1" w:styleId="WineFill">
    <w:name w:val="Wine Fill"/>
    <w:basedOn w:val="Normal"/>
    <w:link w:val="WineFillChar"/>
    <w:uiPriority w:val="9"/>
    <w:qFormat/>
    <w:rsid w:val="007660DB"/>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7660DB"/>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7660DB"/>
    <w:rPr>
      <w:rFonts w:ascii="Arial" w:hAnsi="Arial"/>
      <w:b/>
      <w:color w:val="FFFFFF" w:themeColor="background1"/>
      <w:sz w:val="24"/>
      <w:szCs w:val="24"/>
    </w:rPr>
  </w:style>
  <w:style w:type="character" w:styleId="UnresolvedMention">
    <w:name w:val="Unresolved Mention"/>
    <w:basedOn w:val="DefaultParagraphFont"/>
    <w:uiPriority w:val="99"/>
    <w:semiHidden/>
    <w:unhideWhenUsed/>
    <w:rsid w:val="00276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6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rey.ca/share/public?nodeRef=workspace://SpacesStore/5ede62b7-db35-4dc0-9fb6-a0802164b8c8"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GC_118003346</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[2022-01-13 Committee of the Whole [11077]]</meetingId>
    <capitalProjectPriority xmlns="e6cd7bd4-3f3e-4495-b8c9-139289cd76e6" xsi:nil="true"/>
    <policyApprovalDate xmlns="e6cd7bd4-3f3e-4495-b8c9-139289cd76e6" xsi:nil="true"/>
    <NodeRef xmlns="e6cd7bd4-3f3e-4495-b8c9-139289cd76e6">4170c36b-d04b-4359-9df7-d87aba903374</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58846EB2-E0EF-44D4-B6C6-2427D84335FB}">
  <ds:schemaRefs>
    <ds:schemaRef ds:uri="http://schemas.openxmlformats.org/officeDocument/2006/bibliography"/>
  </ds:schemaRefs>
</ds:datastoreItem>
</file>

<file path=customXml/itemProps2.xml><?xml version="1.0" encoding="utf-8"?>
<ds:datastoreItem xmlns:ds="http://schemas.openxmlformats.org/officeDocument/2006/customXml" ds:itemID="{975225F9-7939-442B-A226-6516DC23C196}"/>
</file>

<file path=customXml/itemProps3.xml><?xml version="1.0" encoding="utf-8"?>
<ds:datastoreItem xmlns:ds="http://schemas.openxmlformats.org/officeDocument/2006/customXml" ds:itemID="{C7B8E418-CC06-4285-A603-104E0F186206}"/>
</file>

<file path=customXml/itemProps4.xml><?xml version="1.0" encoding="utf-8"?>
<ds:datastoreItem xmlns:ds="http://schemas.openxmlformats.org/officeDocument/2006/customXml" ds:itemID="{EF6F386C-508A-4E9E-8FFE-8ADEBB87BD58}"/>
</file>

<file path=customXml/itemProps5.xml><?xml version="1.0" encoding="utf-8"?>
<ds:datastoreItem xmlns:ds="http://schemas.openxmlformats.org/officeDocument/2006/customXml" ds:itemID="{32D5117E-0557-4215-9544-8800FC5A9D92}"/>
</file>

<file path=docProps/app.xml><?xml version="1.0" encoding="utf-8"?>
<Properties xmlns="http://schemas.openxmlformats.org/officeDocument/2006/extended-properties" xmlns:vt="http://schemas.openxmlformats.org/officeDocument/2006/docPropsVTypes">
  <Template>Normal</Template>
  <TotalTime>141</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13</cp:revision>
  <cp:lastPrinted>2018-01-12T14:26:00Z</cp:lastPrinted>
  <dcterms:created xsi:type="dcterms:W3CDTF">2021-12-22T14:43:00Z</dcterms:created>
  <dcterms:modified xsi:type="dcterms:W3CDTF">2022-03-02T18:43:00Z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