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92C7" w14:textId="77777777" w:rsidR="00A3226F" w:rsidRPr="009A61A9" w:rsidRDefault="00100AA2" w:rsidP="0065033B">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68E0758C" w14:textId="77777777" w:rsidTr="00893CEB">
        <w:tc>
          <w:tcPr>
            <w:tcW w:w="3024" w:type="dxa"/>
          </w:tcPr>
          <w:p w14:paraId="18DCB0AA" w14:textId="77777777" w:rsidR="009C4373" w:rsidRDefault="009C4373" w:rsidP="0065033B">
            <w:pPr>
              <w:widowControl w:val="0"/>
              <w:spacing w:before="60" w:after="60"/>
            </w:pPr>
            <w:r w:rsidRPr="00860D2A">
              <w:rPr>
                <w:b/>
                <w:bCs/>
              </w:rPr>
              <w:t>To</w:t>
            </w:r>
            <w:r>
              <w:t>:</w:t>
            </w:r>
          </w:p>
        </w:tc>
        <w:tc>
          <w:tcPr>
            <w:tcW w:w="6326" w:type="dxa"/>
          </w:tcPr>
          <w:p w14:paraId="65723176" w14:textId="77777777" w:rsidR="009C4373" w:rsidRDefault="009C4373" w:rsidP="0065033B">
            <w:pPr>
              <w:widowControl w:val="0"/>
              <w:spacing w:before="60" w:after="60"/>
            </w:pPr>
            <w:r>
              <w:t xml:space="preserve">Warden </w:t>
            </w:r>
            <w:r w:rsidR="007B3FF0">
              <w:t>Hicks</w:t>
            </w:r>
            <w:r>
              <w:t xml:space="preserve"> and Members of Grey County Council</w:t>
            </w:r>
          </w:p>
        </w:tc>
      </w:tr>
      <w:tr w:rsidR="009C4373" w14:paraId="3F647650" w14:textId="77777777" w:rsidTr="00893CEB">
        <w:tc>
          <w:tcPr>
            <w:tcW w:w="3024" w:type="dxa"/>
          </w:tcPr>
          <w:p w14:paraId="060A7B77" w14:textId="77777777" w:rsidR="009C4373" w:rsidRDefault="009C4373" w:rsidP="0065033B">
            <w:pPr>
              <w:widowControl w:val="0"/>
              <w:spacing w:before="60" w:after="60"/>
            </w:pPr>
            <w:r w:rsidRPr="00860D2A">
              <w:rPr>
                <w:b/>
                <w:bCs/>
              </w:rPr>
              <w:t>Committee Date</w:t>
            </w:r>
            <w:r>
              <w:t>:</w:t>
            </w:r>
          </w:p>
        </w:tc>
        <w:tc>
          <w:tcPr>
            <w:tcW w:w="6326" w:type="dxa"/>
          </w:tcPr>
          <w:p w14:paraId="5B2F4485" w14:textId="77777777" w:rsidR="009C4373" w:rsidRDefault="007B3FF0" w:rsidP="0065033B">
            <w:pPr>
              <w:widowControl w:val="0"/>
              <w:spacing w:before="60" w:after="60"/>
            </w:pPr>
            <w:r>
              <w:t>October 14, 2021</w:t>
            </w:r>
          </w:p>
        </w:tc>
      </w:tr>
      <w:tr w:rsidR="009C4373" w14:paraId="47DA7891" w14:textId="77777777" w:rsidTr="00893CEB">
        <w:tc>
          <w:tcPr>
            <w:tcW w:w="3024" w:type="dxa"/>
          </w:tcPr>
          <w:p w14:paraId="0C1BA64B" w14:textId="77777777" w:rsidR="009C4373" w:rsidRDefault="009C4373" w:rsidP="0065033B">
            <w:pPr>
              <w:widowControl w:val="0"/>
              <w:spacing w:before="60" w:after="60"/>
            </w:pPr>
            <w:r w:rsidRPr="00860D2A">
              <w:rPr>
                <w:b/>
                <w:bCs/>
              </w:rPr>
              <w:t>Subject / Report No</w:t>
            </w:r>
            <w:r>
              <w:t>:</w:t>
            </w:r>
          </w:p>
        </w:tc>
        <w:tc>
          <w:tcPr>
            <w:tcW w:w="6326" w:type="dxa"/>
          </w:tcPr>
          <w:p w14:paraId="1BC74CD0" w14:textId="77777777" w:rsidR="009C4373" w:rsidRDefault="007B3FF0" w:rsidP="0065033B">
            <w:pPr>
              <w:widowControl w:val="0"/>
              <w:spacing w:before="60" w:after="60"/>
            </w:pPr>
            <w:r>
              <w:t>SSR-CW-07-21</w:t>
            </w:r>
          </w:p>
        </w:tc>
      </w:tr>
      <w:tr w:rsidR="009C4373" w14:paraId="61F91C1A" w14:textId="77777777" w:rsidTr="00893CEB">
        <w:tc>
          <w:tcPr>
            <w:tcW w:w="3024" w:type="dxa"/>
          </w:tcPr>
          <w:p w14:paraId="23502493" w14:textId="77777777" w:rsidR="009C4373" w:rsidRDefault="009C4373" w:rsidP="0065033B">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5497E355" w14:textId="77777777" w:rsidR="009C4373" w:rsidRDefault="00537C7F" w:rsidP="0065033B">
                <w:pPr>
                  <w:widowControl w:val="0"/>
                  <w:spacing w:before="60" w:after="60"/>
                </w:pPr>
                <w:r>
                  <w:t>Service System Manager Consortium Agreement –Employment Services Ontario Transformation</w:t>
                </w:r>
              </w:p>
            </w:tc>
          </w:sdtContent>
        </w:sdt>
      </w:tr>
      <w:tr w:rsidR="009C4373" w14:paraId="3AA66720" w14:textId="77777777" w:rsidTr="00893CEB">
        <w:tc>
          <w:tcPr>
            <w:tcW w:w="3024" w:type="dxa"/>
          </w:tcPr>
          <w:p w14:paraId="2CB804B0" w14:textId="77777777" w:rsidR="009C4373" w:rsidRDefault="009C4373" w:rsidP="0065033B">
            <w:pPr>
              <w:widowControl w:val="0"/>
              <w:spacing w:before="60" w:after="60"/>
            </w:pPr>
            <w:r w:rsidRPr="00860D2A">
              <w:rPr>
                <w:b/>
                <w:bCs/>
              </w:rPr>
              <w:t>Prepared by</w:t>
            </w:r>
            <w:r>
              <w:t>:</w:t>
            </w:r>
          </w:p>
        </w:tc>
        <w:tc>
          <w:tcPr>
            <w:tcW w:w="6326" w:type="dxa"/>
          </w:tcPr>
          <w:p w14:paraId="2A98955A" w14:textId="77777777" w:rsidR="009C4373" w:rsidRDefault="007B3FF0" w:rsidP="0065033B">
            <w:pPr>
              <w:widowControl w:val="0"/>
              <w:spacing w:before="60" w:after="60"/>
            </w:pPr>
            <w:r>
              <w:t>Melissa McCulloch</w:t>
            </w:r>
          </w:p>
        </w:tc>
      </w:tr>
      <w:tr w:rsidR="009C4373" w14:paraId="2872FCDF" w14:textId="77777777" w:rsidTr="00893CEB">
        <w:tc>
          <w:tcPr>
            <w:tcW w:w="3024" w:type="dxa"/>
          </w:tcPr>
          <w:p w14:paraId="1CCF10C4" w14:textId="77777777" w:rsidR="009C4373" w:rsidRDefault="009C4373" w:rsidP="0065033B">
            <w:pPr>
              <w:widowControl w:val="0"/>
              <w:spacing w:before="60" w:after="60"/>
            </w:pPr>
            <w:r w:rsidRPr="00860D2A">
              <w:rPr>
                <w:b/>
                <w:bCs/>
              </w:rPr>
              <w:t>Reviewed by</w:t>
            </w:r>
            <w:r>
              <w:t>:</w:t>
            </w:r>
          </w:p>
        </w:tc>
        <w:tc>
          <w:tcPr>
            <w:tcW w:w="6326" w:type="dxa"/>
          </w:tcPr>
          <w:p w14:paraId="4EC2F662" w14:textId="77777777" w:rsidR="009C4373" w:rsidRDefault="007B3FF0" w:rsidP="0065033B">
            <w:pPr>
              <w:widowControl w:val="0"/>
              <w:spacing w:before="60" w:after="60"/>
            </w:pPr>
            <w:r>
              <w:t>Barb Fedy</w:t>
            </w:r>
          </w:p>
        </w:tc>
      </w:tr>
      <w:tr w:rsidR="009C4373" w14:paraId="22A0A2CD" w14:textId="77777777" w:rsidTr="00893CEB">
        <w:tc>
          <w:tcPr>
            <w:tcW w:w="3024" w:type="dxa"/>
          </w:tcPr>
          <w:p w14:paraId="5E5BC6BC" w14:textId="77777777" w:rsidR="009C4373" w:rsidRDefault="009C4373" w:rsidP="0065033B">
            <w:pPr>
              <w:widowControl w:val="0"/>
              <w:spacing w:before="60" w:after="60"/>
            </w:pPr>
            <w:r w:rsidRPr="00860D2A">
              <w:rPr>
                <w:b/>
                <w:bCs/>
              </w:rPr>
              <w:t>Lower Tier(s) Affected</w:t>
            </w:r>
            <w:r>
              <w:t>:</w:t>
            </w:r>
          </w:p>
        </w:tc>
        <w:tc>
          <w:tcPr>
            <w:tcW w:w="6326" w:type="dxa"/>
          </w:tcPr>
          <w:p w14:paraId="01E3FE55" w14:textId="77777777" w:rsidR="009C4373" w:rsidRDefault="007B3FF0" w:rsidP="0065033B">
            <w:pPr>
              <w:widowControl w:val="0"/>
              <w:spacing w:before="60" w:after="60"/>
            </w:pPr>
            <w:r>
              <w:t>County-wide initiative</w:t>
            </w:r>
          </w:p>
        </w:tc>
      </w:tr>
      <w:tr w:rsidR="009C4373" w14:paraId="0A966E7A" w14:textId="6D7F27B8" w:rsidTr="00893CEB">
        <w:tc>
          <w:tcPr>
            <w:tcW w:w="3024" w:type="dxa"/>
          </w:tcPr>
          <w:p w14:paraId="0792547E" w14:textId="77777777" w:rsidR="009C4373" w:rsidRDefault="009C4373" w:rsidP="0065033B">
            <w:pPr>
              <w:widowControl w:val="0"/>
              <w:spacing w:before="60" w:after="60"/>
            </w:pPr>
            <w:r w:rsidRPr="00860D2A">
              <w:rPr>
                <w:b/>
                <w:bCs/>
              </w:rPr>
              <w:t>Status</w:t>
            </w:r>
            <w:r>
              <w:t>:</w:t>
            </w:r>
          </w:p>
        </w:tc>
        <w:tc>
          <w:tcPr>
            <w:tcW w:w="6326" w:type="dxa"/>
          </w:tcPr>
          <w:p w14:paraId="13C00ADE" w14:textId="77777777" w:rsidR="009C4373" w:rsidRDefault="009C4373" w:rsidP="0065033B">
            <w:pPr>
              <w:widowControl w:val="0"/>
              <w:spacing w:before="60" w:after="60"/>
            </w:pPr>
          </w:p>
        </w:tc>
      </w:tr>
    </w:tbl>
    <w:p w14:paraId="31D3BA31" w14:textId="77777777" w:rsidR="00893CEB" w:rsidRDefault="00893CEB" w:rsidP="0065033B">
      <w:pPr>
        <w:pStyle w:val="Heading1"/>
        <w:keepNext w:val="0"/>
        <w:keepLines w:val="0"/>
        <w:widowControl w:val="0"/>
      </w:pPr>
      <w:r>
        <w:t>Recommendation</w:t>
      </w:r>
    </w:p>
    <w:p w14:paraId="229AC4B1" w14:textId="12148613" w:rsidR="00893CEB" w:rsidRPr="00464546" w:rsidRDefault="00464546" w:rsidP="0065033B">
      <w:pPr>
        <w:pStyle w:val="Level1"/>
        <w:widowControl w:val="0"/>
        <w:rPr>
          <w:b/>
          <w:bCs w:val="0"/>
        </w:rPr>
      </w:pPr>
      <w:r w:rsidRPr="00464546">
        <w:rPr>
          <w:b/>
          <w:bCs w:val="0"/>
        </w:rPr>
        <w:t>That a by-law be brought forward for Council’s consideration authorizing the Warden and Clerk to execute a consortium agreement</w:t>
      </w:r>
      <w:r w:rsidR="00537C7F" w:rsidRPr="00464546">
        <w:rPr>
          <w:b/>
          <w:bCs w:val="0"/>
        </w:rPr>
        <w:t xml:space="preserve"> </w:t>
      </w:r>
      <w:r w:rsidR="00A729D7" w:rsidRPr="00464546">
        <w:rPr>
          <w:b/>
          <w:bCs w:val="0"/>
        </w:rPr>
        <w:t>which includes</w:t>
      </w:r>
      <w:r w:rsidR="00537C7F" w:rsidRPr="00464546">
        <w:rPr>
          <w:b/>
          <w:bCs w:val="0"/>
        </w:rPr>
        <w:t xml:space="preserve"> the Consolidated Municipal Service Managers </w:t>
      </w:r>
      <w:r w:rsidR="00A66960" w:rsidRPr="00464546">
        <w:rPr>
          <w:b/>
          <w:bCs w:val="0"/>
        </w:rPr>
        <w:t xml:space="preserve">(CMSM’s) </w:t>
      </w:r>
      <w:r w:rsidR="00537C7F" w:rsidRPr="00464546">
        <w:rPr>
          <w:b/>
          <w:bCs w:val="0"/>
        </w:rPr>
        <w:t>in the Stratford</w:t>
      </w:r>
      <w:r w:rsidR="003B020D" w:rsidRPr="00464546">
        <w:rPr>
          <w:b/>
          <w:bCs w:val="0"/>
        </w:rPr>
        <w:t xml:space="preserve"> Bruce-Peninsula</w:t>
      </w:r>
      <w:r w:rsidR="00537C7F" w:rsidRPr="00464546">
        <w:rPr>
          <w:b/>
          <w:bCs w:val="0"/>
        </w:rPr>
        <w:t xml:space="preserve"> catchment area including Huron County, Bruce County, Grey County and Stratford with Bruce County </w:t>
      </w:r>
      <w:r w:rsidR="00A729D7" w:rsidRPr="00464546">
        <w:rPr>
          <w:b/>
          <w:bCs w:val="0"/>
        </w:rPr>
        <w:t>acting</w:t>
      </w:r>
      <w:r w:rsidR="00537C7F" w:rsidRPr="00464546">
        <w:rPr>
          <w:b/>
          <w:bCs w:val="0"/>
        </w:rPr>
        <w:t xml:space="preserve"> as the lead</w:t>
      </w:r>
      <w:r w:rsidR="00893CEB" w:rsidRPr="00464546">
        <w:rPr>
          <w:b/>
          <w:bCs w:val="0"/>
        </w:rPr>
        <w:t>; and</w:t>
      </w:r>
    </w:p>
    <w:p w14:paraId="26787A71" w14:textId="77777777" w:rsidR="00537C7F" w:rsidRPr="00537C7F" w:rsidRDefault="00893CEB" w:rsidP="0065033B">
      <w:pPr>
        <w:pStyle w:val="Level1"/>
        <w:widowControl w:val="0"/>
        <w:rPr>
          <w:b/>
        </w:rPr>
      </w:pPr>
      <w:r w:rsidRPr="00D2348C">
        <w:rPr>
          <w:b/>
          <w:bCs w:val="0"/>
        </w:rPr>
        <w:t>That</w:t>
      </w:r>
      <w:r w:rsidR="00537C7F">
        <w:rPr>
          <w:b/>
          <w:bCs w:val="0"/>
        </w:rPr>
        <w:t xml:space="preserve"> staff </w:t>
      </w:r>
      <w:r w:rsidR="00537C7F" w:rsidRPr="00537C7F">
        <w:rPr>
          <w:b/>
        </w:rPr>
        <w:t xml:space="preserve">are authorized to complete the Provincial </w:t>
      </w:r>
      <w:r w:rsidR="006C2F09">
        <w:rPr>
          <w:b/>
        </w:rPr>
        <w:t>Call</w:t>
      </w:r>
      <w:r w:rsidR="00537C7F" w:rsidRPr="00537C7F">
        <w:rPr>
          <w:b/>
        </w:rPr>
        <w:t xml:space="preserve"> for Proposal to be considered for the role of Service System Manager of community-based employment and training services; </w:t>
      </w:r>
      <w:r w:rsidR="00A729D7">
        <w:rPr>
          <w:b/>
        </w:rPr>
        <w:t>and</w:t>
      </w:r>
    </w:p>
    <w:p w14:paraId="76FE071B" w14:textId="77777777" w:rsidR="00C36478" w:rsidRPr="00C36478" w:rsidRDefault="00A729D7" w:rsidP="0065033B">
      <w:pPr>
        <w:pStyle w:val="Level1"/>
        <w:widowControl w:val="0"/>
        <w:rPr>
          <w:b/>
          <w:bCs w:val="0"/>
          <w:strike/>
        </w:rPr>
      </w:pPr>
      <w:r>
        <w:rPr>
          <w:b/>
          <w:bCs w:val="0"/>
        </w:rPr>
        <w:t>That</w:t>
      </w:r>
      <w:r w:rsidR="00537C7F" w:rsidRPr="00537C7F">
        <w:rPr>
          <w:b/>
          <w:bCs w:val="0"/>
        </w:rPr>
        <w:t xml:space="preserve"> any final agreement </w:t>
      </w:r>
      <w:r w:rsidR="003A3E6F">
        <w:rPr>
          <w:b/>
          <w:bCs w:val="0"/>
        </w:rPr>
        <w:t>with</w:t>
      </w:r>
      <w:r w:rsidR="00537C7F" w:rsidRPr="00537C7F">
        <w:rPr>
          <w:b/>
          <w:bCs w:val="0"/>
        </w:rPr>
        <w:t xml:space="preserve"> the Province be signed by Bruce County as the lead </w:t>
      </w:r>
      <w:r>
        <w:rPr>
          <w:b/>
          <w:bCs w:val="0"/>
        </w:rPr>
        <w:t>CMSM</w:t>
      </w:r>
      <w:r w:rsidR="00537C7F" w:rsidRPr="00537C7F">
        <w:rPr>
          <w:b/>
          <w:bCs w:val="0"/>
        </w:rPr>
        <w:t xml:space="preserve"> </w:t>
      </w:r>
      <w:r>
        <w:rPr>
          <w:b/>
          <w:bCs w:val="0"/>
        </w:rPr>
        <w:t>for the consortium</w:t>
      </w:r>
      <w:r w:rsidR="00464546">
        <w:rPr>
          <w:b/>
          <w:bCs w:val="0"/>
        </w:rPr>
        <w:t>.</w:t>
      </w:r>
    </w:p>
    <w:p w14:paraId="0A6390A5" w14:textId="46669FE7" w:rsidR="00893CEB" w:rsidRDefault="00893CEB" w:rsidP="0065033B">
      <w:pPr>
        <w:pStyle w:val="Heading2"/>
        <w:keepNext w:val="0"/>
        <w:keepLines w:val="0"/>
        <w:widowControl w:val="0"/>
      </w:pPr>
      <w:r>
        <w:t>Executive Summary</w:t>
      </w:r>
    </w:p>
    <w:p w14:paraId="28B0CAE8" w14:textId="4E6CF601" w:rsidR="00537C7F" w:rsidRDefault="00537C7F" w:rsidP="0065033B">
      <w:pPr>
        <w:widowControl w:val="0"/>
        <w:autoSpaceDE w:val="0"/>
        <w:autoSpaceDN w:val="0"/>
        <w:adjustRightInd w:val="0"/>
        <w:spacing w:after="0" w:line="240" w:lineRule="auto"/>
        <w:rPr>
          <w:rFonts w:cs="Arial"/>
          <w:color w:val="000000"/>
        </w:rPr>
      </w:pPr>
      <w:r w:rsidRPr="00537C7F">
        <w:rPr>
          <w:rFonts w:cs="Arial"/>
          <w:color w:val="000000"/>
        </w:rPr>
        <w:t xml:space="preserve">The steps to transform local employment services </w:t>
      </w:r>
      <w:r w:rsidR="00B553FC">
        <w:rPr>
          <w:rFonts w:cs="Arial"/>
          <w:color w:val="000000"/>
        </w:rPr>
        <w:t xml:space="preserve">across the province </w:t>
      </w:r>
      <w:r w:rsidRPr="00537C7F">
        <w:rPr>
          <w:rFonts w:cs="Arial"/>
          <w:color w:val="000000"/>
        </w:rPr>
        <w:t>include the integration of the O</w:t>
      </w:r>
      <w:r w:rsidR="00A66960">
        <w:rPr>
          <w:rFonts w:cs="Arial"/>
          <w:color w:val="000000"/>
        </w:rPr>
        <w:t xml:space="preserve">ntario </w:t>
      </w:r>
      <w:r w:rsidRPr="00537C7F">
        <w:rPr>
          <w:rFonts w:cs="Arial"/>
          <w:color w:val="000000"/>
        </w:rPr>
        <w:t>W</w:t>
      </w:r>
      <w:r w:rsidR="00A66960">
        <w:rPr>
          <w:rFonts w:cs="Arial"/>
          <w:color w:val="000000"/>
        </w:rPr>
        <w:t>orks (OW)</w:t>
      </w:r>
      <w:r w:rsidRPr="00537C7F">
        <w:rPr>
          <w:rFonts w:cs="Arial"/>
          <w:color w:val="000000"/>
        </w:rPr>
        <w:t xml:space="preserve"> and O</w:t>
      </w:r>
      <w:r w:rsidR="00A66960">
        <w:rPr>
          <w:rFonts w:cs="Arial"/>
          <w:color w:val="000000"/>
        </w:rPr>
        <w:t>ntario Disability Support Program (O</w:t>
      </w:r>
      <w:r w:rsidRPr="00537C7F">
        <w:rPr>
          <w:rFonts w:cs="Arial"/>
          <w:color w:val="000000"/>
        </w:rPr>
        <w:t>DSP</w:t>
      </w:r>
      <w:r w:rsidR="00A66960">
        <w:rPr>
          <w:rFonts w:cs="Arial"/>
          <w:color w:val="000000"/>
        </w:rPr>
        <w:t>)</w:t>
      </w:r>
      <w:r w:rsidRPr="00537C7F">
        <w:rPr>
          <w:rFonts w:cs="Arial"/>
          <w:color w:val="000000"/>
        </w:rPr>
        <w:t xml:space="preserve"> employment services programs and E</w:t>
      </w:r>
      <w:r w:rsidR="00A66960">
        <w:rPr>
          <w:rFonts w:cs="Arial"/>
          <w:color w:val="000000"/>
        </w:rPr>
        <w:t>mployment Ontario (E</w:t>
      </w:r>
      <w:r w:rsidRPr="00537C7F">
        <w:rPr>
          <w:rFonts w:cs="Arial"/>
          <w:color w:val="000000"/>
        </w:rPr>
        <w:t>O</w:t>
      </w:r>
      <w:r w:rsidR="00A66960">
        <w:rPr>
          <w:rFonts w:cs="Arial"/>
          <w:color w:val="000000"/>
        </w:rPr>
        <w:t>)</w:t>
      </w:r>
      <w:r w:rsidRPr="00537C7F">
        <w:rPr>
          <w:rFonts w:cs="Arial"/>
          <w:color w:val="000000"/>
        </w:rPr>
        <w:t xml:space="preserve"> into one system. </w:t>
      </w:r>
      <w:r w:rsidR="00B553FC">
        <w:rPr>
          <w:rFonts w:cs="Arial"/>
          <w:color w:val="000000"/>
        </w:rPr>
        <w:t xml:space="preserve">The province is undertaking a procurement process to find organizations (public or private) who will lead the new, integrated program delivery model. The municipal service managers (CMSMs) in </w:t>
      </w:r>
      <w:r w:rsidR="00B553FC" w:rsidRPr="00537C7F">
        <w:rPr>
          <w:rFonts w:cs="Arial"/>
          <w:color w:val="000000"/>
        </w:rPr>
        <w:t>Bruce, Grey, Huron and Stratford</w:t>
      </w:r>
      <w:r w:rsidR="00B553FC">
        <w:rPr>
          <w:rFonts w:cs="Arial"/>
          <w:color w:val="000000"/>
        </w:rPr>
        <w:t xml:space="preserve"> are working together to be the new organization for our area.</w:t>
      </w:r>
    </w:p>
    <w:p w14:paraId="2164EC44" w14:textId="77777777" w:rsidR="00A66960" w:rsidRPr="00537C7F" w:rsidRDefault="00A66960" w:rsidP="0065033B">
      <w:pPr>
        <w:widowControl w:val="0"/>
        <w:autoSpaceDE w:val="0"/>
        <w:autoSpaceDN w:val="0"/>
        <w:adjustRightInd w:val="0"/>
        <w:spacing w:after="0" w:line="240" w:lineRule="auto"/>
        <w:rPr>
          <w:rFonts w:cs="Arial"/>
          <w:color w:val="000000"/>
          <w:sz w:val="22"/>
          <w:szCs w:val="22"/>
        </w:rPr>
      </w:pPr>
    </w:p>
    <w:p w14:paraId="37C8B935" w14:textId="22E91A53" w:rsidR="00537C7F" w:rsidRDefault="00537C7F" w:rsidP="0065033B">
      <w:pPr>
        <w:widowControl w:val="0"/>
        <w:autoSpaceDE w:val="0"/>
        <w:autoSpaceDN w:val="0"/>
        <w:adjustRightInd w:val="0"/>
        <w:spacing w:after="0" w:line="240" w:lineRule="auto"/>
        <w:rPr>
          <w:rFonts w:cs="Arial"/>
          <w:color w:val="000000"/>
        </w:rPr>
      </w:pPr>
      <w:r w:rsidRPr="00537C7F">
        <w:rPr>
          <w:rFonts w:cs="Arial"/>
          <w:color w:val="000000"/>
        </w:rPr>
        <w:t xml:space="preserve">The </w:t>
      </w:r>
      <w:r w:rsidR="00B553FC">
        <w:rPr>
          <w:rFonts w:cs="Arial"/>
          <w:color w:val="000000"/>
        </w:rPr>
        <w:t>group</w:t>
      </w:r>
      <w:r w:rsidRPr="00537C7F">
        <w:rPr>
          <w:rFonts w:cs="Arial"/>
          <w:color w:val="000000"/>
        </w:rPr>
        <w:t xml:space="preserve"> were successful in the </w:t>
      </w:r>
      <w:r w:rsidR="00B553FC">
        <w:rPr>
          <w:rFonts w:cs="Arial"/>
          <w:color w:val="000000"/>
        </w:rPr>
        <w:t xml:space="preserve">step one </w:t>
      </w:r>
      <w:r w:rsidR="006C2F09">
        <w:rPr>
          <w:rFonts w:cs="Arial"/>
          <w:color w:val="000000"/>
        </w:rPr>
        <w:t xml:space="preserve">Request for Quotation (RFQ) </w:t>
      </w:r>
      <w:r w:rsidRPr="00537C7F">
        <w:rPr>
          <w:rFonts w:cs="Arial"/>
          <w:color w:val="000000"/>
        </w:rPr>
        <w:t>process</w:t>
      </w:r>
      <w:r w:rsidR="00C36478">
        <w:rPr>
          <w:rFonts w:cs="Arial"/>
          <w:color w:val="000000"/>
        </w:rPr>
        <w:t>.</w:t>
      </w:r>
      <w:r w:rsidRPr="00537C7F">
        <w:rPr>
          <w:rFonts w:cs="Arial"/>
          <w:color w:val="000000"/>
        </w:rPr>
        <w:t xml:space="preserve"> </w:t>
      </w:r>
      <w:r w:rsidR="00C36478">
        <w:rPr>
          <w:rFonts w:cs="Arial"/>
          <w:color w:val="000000"/>
        </w:rPr>
        <w:t>The</w:t>
      </w:r>
      <w:r w:rsidRPr="00537C7F">
        <w:rPr>
          <w:rFonts w:cs="Arial"/>
          <w:color w:val="000000"/>
        </w:rPr>
        <w:t xml:space="preserve"> </w:t>
      </w:r>
      <w:r w:rsidRPr="00537C7F">
        <w:rPr>
          <w:rFonts w:cs="Arial"/>
          <w:color w:val="000000"/>
        </w:rPr>
        <w:lastRenderedPageBreak/>
        <w:t>next step involves the competitive selection of a Service System Manager</w:t>
      </w:r>
      <w:r w:rsidR="00A66960">
        <w:rPr>
          <w:rFonts w:cs="Arial"/>
          <w:color w:val="000000"/>
        </w:rPr>
        <w:t xml:space="preserve"> (SSM)</w:t>
      </w:r>
      <w:r w:rsidRPr="00537C7F">
        <w:rPr>
          <w:rFonts w:cs="Arial"/>
          <w:color w:val="000000"/>
        </w:rPr>
        <w:t xml:space="preserve"> through the </w:t>
      </w:r>
      <w:r w:rsidR="006C2F09">
        <w:rPr>
          <w:rFonts w:cs="Arial"/>
          <w:color w:val="000000"/>
        </w:rPr>
        <w:t>C</w:t>
      </w:r>
      <w:r w:rsidRPr="00537C7F">
        <w:rPr>
          <w:rFonts w:cs="Arial"/>
          <w:color w:val="000000"/>
        </w:rPr>
        <w:t xml:space="preserve">all for </w:t>
      </w:r>
      <w:r w:rsidR="006C2F09">
        <w:rPr>
          <w:rFonts w:cs="Arial"/>
          <w:color w:val="000000"/>
        </w:rPr>
        <w:t>P</w:t>
      </w:r>
      <w:r w:rsidRPr="00537C7F">
        <w:rPr>
          <w:rFonts w:cs="Arial"/>
          <w:color w:val="000000"/>
        </w:rPr>
        <w:t xml:space="preserve">roposal process. </w:t>
      </w:r>
    </w:p>
    <w:p w14:paraId="2A75EB31" w14:textId="77777777" w:rsidR="00C36478" w:rsidRPr="00537C7F" w:rsidRDefault="00C36478" w:rsidP="0065033B">
      <w:pPr>
        <w:widowControl w:val="0"/>
        <w:autoSpaceDE w:val="0"/>
        <w:autoSpaceDN w:val="0"/>
        <w:adjustRightInd w:val="0"/>
        <w:spacing w:after="0" w:line="240" w:lineRule="auto"/>
        <w:rPr>
          <w:rFonts w:cs="Arial"/>
          <w:color w:val="000000"/>
        </w:rPr>
      </w:pPr>
    </w:p>
    <w:p w14:paraId="08CC6E7A" w14:textId="4229F91D" w:rsidR="00537C7F" w:rsidRPr="00537C7F" w:rsidRDefault="00537C7F" w:rsidP="0065033B">
      <w:pPr>
        <w:widowControl w:val="0"/>
        <w:autoSpaceDE w:val="0"/>
        <w:autoSpaceDN w:val="0"/>
        <w:adjustRightInd w:val="0"/>
        <w:spacing w:after="0" w:line="240" w:lineRule="auto"/>
        <w:rPr>
          <w:rFonts w:cs="Arial"/>
          <w:color w:val="000000"/>
        </w:rPr>
      </w:pPr>
      <w:r w:rsidRPr="00537C7F">
        <w:rPr>
          <w:rFonts w:cs="Arial"/>
          <w:color w:val="000000"/>
        </w:rPr>
        <w:t xml:space="preserve">Staff are seeking authorization to enter into a consortium agreement with Stratford, Bruce, </w:t>
      </w:r>
      <w:r w:rsidR="00B553FC">
        <w:rPr>
          <w:rFonts w:cs="Arial"/>
          <w:color w:val="000000"/>
        </w:rPr>
        <w:t xml:space="preserve">and </w:t>
      </w:r>
      <w:r w:rsidRPr="00537C7F">
        <w:rPr>
          <w:rFonts w:cs="Arial"/>
          <w:color w:val="000000"/>
        </w:rPr>
        <w:t>Huron</w:t>
      </w:r>
      <w:r w:rsidR="00B553FC">
        <w:rPr>
          <w:rFonts w:cs="Arial"/>
          <w:color w:val="000000"/>
        </w:rPr>
        <w:t xml:space="preserve"> </w:t>
      </w:r>
      <w:r w:rsidRPr="00537C7F">
        <w:rPr>
          <w:rFonts w:cs="Arial"/>
          <w:color w:val="000000"/>
        </w:rPr>
        <w:t xml:space="preserve">to pursue the next phase of the Employment Services Transformation through the submission of a Call for Proposal for the Service System Manager role. </w:t>
      </w:r>
    </w:p>
    <w:p w14:paraId="25B6F039" w14:textId="6397744D" w:rsidR="00893CEB" w:rsidRDefault="00893CEB" w:rsidP="0065033B">
      <w:pPr>
        <w:pStyle w:val="Heading2"/>
        <w:keepNext w:val="0"/>
        <w:keepLines w:val="0"/>
        <w:widowControl w:val="0"/>
      </w:pPr>
      <w:r>
        <w:t>Background and Discussion</w:t>
      </w:r>
    </w:p>
    <w:p w14:paraId="762A937E" w14:textId="77777777" w:rsidR="00537C7F" w:rsidRDefault="00537C7F" w:rsidP="0065033B">
      <w:pPr>
        <w:widowControl w:val="0"/>
        <w:autoSpaceDE w:val="0"/>
        <w:autoSpaceDN w:val="0"/>
        <w:adjustRightInd w:val="0"/>
        <w:spacing w:after="0" w:line="240" w:lineRule="auto"/>
        <w:rPr>
          <w:rFonts w:eastAsia="Calibri" w:cs="Arial"/>
        </w:rPr>
      </w:pPr>
      <w:r w:rsidRPr="00537C7F">
        <w:rPr>
          <w:rFonts w:eastAsia="Calibri" w:cs="Arial"/>
        </w:rPr>
        <w:t xml:space="preserve">On June 10, 2021, the expansion of Employment Services Transformation to nine additional catchment areas was announced. One of these areas is the Stratford Bruce-Peninsula Economic Region, which includes Bruce County, Grey County, Huron County, and Stratford-Perth. The first stage in this process was a Request for Qualification (RFQ) submission, which was due July 13, 2021. </w:t>
      </w:r>
      <w:r w:rsidRPr="00537C7F">
        <w:rPr>
          <w:rFonts w:eastAsia="Calibri" w:cs="Arial"/>
          <w:color w:val="000000"/>
        </w:rPr>
        <w:t>The purpose of the RFQ was to determine if there are qualified applicants interested in and capable of managing the delivery of employment services within each of the catchment areas. The RFQ was open to any public, not-for-profit</w:t>
      </w:r>
      <w:r w:rsidR="00AA75A4">
        <w:rPr>
          <w:rFonts w:eastAsia="Calibri" w:cs="Arial"/>
          <w:color w:val="000000"/>
        </w:rPr>
        <w:t>,</w:t>
      </w:r>
      <w:r w:rsidRPr="00537C7F">
        <w:rPr>
          <w:rFonts w:eastAsia="Calibri" w:cs="Arial"/>
          <w:color w:val="000000"/>
        </w:rPr>
        <w:t xml:space="preserve"> and private sector organization, as well as municipalities and municipal service delivery organizations. </w:t>
      </w:r>
      <w:r w:rsidRPr="00537C7F">
        <w:rPr>
          <w:rFonts w:eastAsia="Calibri" w:cs="Arial"/>
        </w:rPr>
        <w:t>The four Consolidate</w:t>
      </w:r>
      <w:r w:rsidR="006155CD">
        <w:rPr>
          <w:rFonts w:eastAsia="Calibri" w:cs="Arial"/>
        </w:rPr>
        <w:t>d</w:t>
      </w:r>
      <w:r w:rsidRPr="00537C7F">
        <w:rPr>
          <w:rFonts w:eastAsia="Calibri" w:cs="Arial"/>
        </w:rPr>
        <w:t xml:space="preserve"> Municipal Services Managers in our region (Stratford-Bruce Peninsula Economic Region) collaboratively submitted a</w:t>
      </w:r>
      <w:r w:rsidR="00BB0669">
        <w:rPr>
          <w:rFonts w:eastAsia="Calibri" w:cs="Arial"/>
        </w:rPr>
        <w:t xml:space="preserve">n RFQ </w:t>
      </w:r>
      <w:r w:rsidRPr="00537C7F">
        <w:rPr>
          <w:rFonts w:eastAsia="Calibri" w:cs="Arial"/>
        </w:rPr>
        <w:t xml:space="preserve">and were successful in qualifying </w:t>
      </w:r>
      <w:r w:rsidR="00BB0669">
        <w:rPr>
          <w:rFonts w:eastAsia="Calibri" w:cs="Arial"/>
        </w:rPr>
        <w:t>for</w:t>
      </w:r>
      <w:r w:rsidRPr="00537C7F">
        <w:rPr>
          <w:rFonts w:eastAsia="Calibri" w:cs="Arial"/>
        </w:rPr>
        <w:t xml:space="preserve"> the next stage.  </w:t>
      </w:r>
    </w:p>
    <w:p w14:paraId="5A695257" w14:textId="77777777" w:rsidR="00A66960" w:rsidRPr="00537C7F" w:rsidRDefault="00A66960" w:rsidP="0065033B">
      <w:pPr>
        <w:widowControl w:val="0"/>
        <w:autoSpaceDE w:val="0"/>
        <w:autoSpaceDN w:val="0"/>
        <w:adjustRightInd w:val="0"/>
        <w:spacing w:after="0" w:line="240" w:lineRule="auto"/>
        <w:rPr>
          <w:rFonts w:eastAsia="Calibri" w:cs="Arial"/>
        </w:rPr>
      </w:pPr>
    </w:p>
    <w:p w14:paraId="1588C054" w14:textId="6FBB5D4D" w:rsidR="00537C7F" w:rsidRPr="00537C7F" w:rsidRDefault="00537C7F" w:rsidP="0065033B">
      <w:pPr>
        <w:widowControl w:val="0"/>
        <w:autoSpaceDE w:val="0"/>
        <w:autoSpaceDN w:val="0"/>
        <w:adjustRightInd w:val="0"/>
        <w:spacing w:after="0" w:line="240" w:lineRule="auto"/>
        <w:rPr>
          <w:rFonts w:eastAsia="Calibri" w:cs="Arial"/>
        </w:rPr>
      </w:pPr>
      <w:r w:rsidRPr="00537C7F">
        <w:rPr>
          <w:rFonts w:eastAsia="Calibri" w:cs="Arial"/>
        </w:rPr>
        <w:t>The second stage is a Call for Proposal (CFP) process for those in select catchment areas who were deemed qualified following the first round. The successful S</w:t>
      </w:r>
      <w:r w:rsidR="00BB0669">
        <w:rPr>
          <w:rFonts w:eastAsia="Calibri" w:cs="Arial"/>
        </w:rPr>
        <w:t xml:space="preserve">ocial </w:t>
      </w:r>
      <w:r w:rsidRPr="00537C7F">
        <w:rPr>
          <w:rFonts w:eastAsia="Calibri" w:cs="Arial"/>
        </w:rPr>
        <w:t>S</w:t>
      </w:r>
      <w:r w:rsidR="00BB0669">
        <w:rPr>
          <w:rFonts w:eastAsia="Calibri" w:cs="Arial"/>
        </w:rPr>
        <w:t xml:space="preserve">ervice </w:t>
      </w:r>
      <w:r w:rsidRPr="00537C7F">
        <w:rPr>
          <w:rFonts w:eastAsia="Calibri" w:cs="Arial"/>
        </w:rPr>
        <w:t>M</w:t>
      </w:r>
      <w:r w:rsidR="00BB0669">
        <w:rPr>
          <w:rFonts w:eastAsia="Calibri" w:cs="Arial"/>
        </w:rPr>
        <w:t>anager</w:t>
      </w:r>
      <w:r w:rsidRPr="00537C7F">
        <w:rPr>
          <w:rFonts w:eastAsia="Calibri" w:cs="Arial"/>
        </w:rPr>
        <w:t>s</w:t>
      </w:r>
      <w:r w:rsidR="00BB0669">
        <w:rPr>
          <w:rFonts w:eastAsia="Calibri" w:cs="Arial"/>
        </w:rPr>
        <w:t xml:space="preserve"> (SSM)</w:t>
      </w:r>
      <w:r w:rsidRPr="00537C7F">
        <w:rPr>
          <w:rFonts w:eastAsia="Calibri" w:cs="Arial"/>
        </w:rPr>
        <w:t xml:space="preserve"> in these catchment areas will be identified by Spring 2022 with Ministry agreements in place for April 2022 and implementation of services by April 2023. The sequencing of individual catchment areas was based on complexity, competitiveness, and municipal engagement. On September 13</w:t>
      </w:r>
      <w:r w:rsidRPr="00537C7F">
        <w:rPr>
          <w:rFonts w:eastAsia="Calibri" w:cs="Arial"/>
          <w:vertAlign w:val="superscript"/>
        </w:rPr>
        <w:t>th</w:t>
      </w:r>
      <w:r w:rsidRPr="00537C7F">
        <w:rPr>
          <w:rFonts w:eastAsia="Calibri" w:cs="Arial"/>
        </w:rPr>
        <w:t xml:space="preserve"> the Province announced that the Stratford-Bruce Peninsula Economic region was identified as lower complexity and agreements for Employment Service Transformation will be in place for A</w:t>
      </w:r>
      <w:r w:rsidR="00BB0669">
        <w:rPr>
          <w:rFonts w:eastAsia="Calibri" w:cs="Arial"/>
        </w:rPr>
        <w:t>p</w:t>
      </w:r>
      <w:r w:rsidRPr="00537C7F">
        <w:rPr>
          <w:rFonts w:eastAsia="Calibri" w:cs="Arial"/>
        </w:rPr>
        <w:t xml:space="preserve">ril 2022. The competitive process for the remaining catchments with higher levels of complexity such as Toronto and the two northern catchments will occur in 2023. </w:t>
      </w:r>
    </w:p>
    <w:p w14:paraId="3A471F7F" w14:textId="77777777" w:rsidR="00537C7F" w:rsidRPr="00537C7F" w:rsidRDefault="00537C7F" w:rsidP="0065033B">
      <w:pPr>
        <w:widowControl w:val="0"/>
        <w:autoSpaceDE w:val="0"/>
        <w:autoSpaceDN w:val="0"/>
        <w:adjustRightInd w:val="0"/>
        <w:spacing w:after="0" w:line="240" w:lineRule="auto"/>
        <w:rPr>
          <w:rFonts w:eastAsia="Calibri" w:cs="Arial"/>
        </w:rPr>
      </w:pPr>
    </w:p>
    <w:p w14:paraId="559021D4" w14:textId="77777777" w:rsidR="00537C7F" w:rsidRPr="00537C7F" w:rsidRDefault="00537C7F" w:rsidP="0065033B">
      <w:pPr>
        <w:widowControl w:val="0"/>
        <w:autoSpaceDE w:val="0"/>
        <w:autoSpaceDN w:val="0"/>
        <w:adjustRightInd w:val="0"/>
        <w:spacing w:line="240" w:lineRule="auto"/>
        <w:rPr>
          <w:rFonts w:eastAsia="Calibri" w:cs="Arial"/>
          <w:color w:val="000000"/>
        </w:rPr>
      </w:pPr>
      <w:r w:rsidRPr="00537C7F">
        <w:rPr>
          <w:rFonts w:eastAsia="Calibri" w:cs="Arial"/>
          <w:b/>
          <w:bCs/>
          <w:color w:val="000000"/>
        </w:rPr>
        <w:t xml:space="preserve">New Employment Service System Model </w:t>
      </w:r>
    </w:p>
    <w:p w14:paraId="156EA1ED" w14:textId="776E73AF" w:rsidR="00537C7F" w:rsidRDefault="00537C7F" w:rsidP="0065033B">
      <w:pPr>
        <w:widowControl w:val="0"/>
        <w:autoSpaceDE w:val="0"/>
        <w:autoSpaceDN w:val="0"/>
        <w:adjustRightInd w:val="0"/>
        <w:spacing w:after="0" w:line="240" w:lineRule="auto"/>
        <w:rPr>
          <w:rFonts w:eastAsia="Calibri" w:cs="Arial"/>
          <w:color w:val="000000"/>
        </w:rPr>
      </w:pPr>
      <w:r w:rsidRPr="00537C7F">
        <w:rPr>
          <w:rFonts w:eastAsia="Calibri" w:cs="Arial"/>
          <w:color w:val="000000"/>
        </w:rPr>
        <w:t xml:space="preserve">As indicated in previous reports, in February 2019, the Province announced its plans to transform employment services to ensure job seekers and businesses are provided with the best possible employment services. Led by the Ministry of Labour Training and Skills Development (MLTSD), the following are among the steps to transformation: </w:t>
      </w:r>
    </w:p>
    <w:p w14:paraId="5046C7C1" w14:textId="77777777" w:rsidR="006258E2" w:rsidRPr="00537C7F" w:rsidRDefault="006258E2" w:rsidP="0065033B">
      <w:pPr>
        <w:widowControl w:val="0"/>
        <w:autoSpaceDE w:val="0"/>
        <w:autoSpaceDN w:val="0"/>
        <w:adjustRightInd w:val="0"/>
        <w:spacing w:after="0" w:line="240" w:lineRule="auto"/>
        <w:ind w:left="720"/>
        <w:rPr>
          <w:rFonts w:eastAsia="Calibri" w:cs="Arial"/>
          <w:color w:val="000000"/>
        </w:rPr>
      </w:pPr>
    </w:p>
    <w:p w14:paraId="466A1BF7" w14:textId="77777777" w:rsidR="00537C7F" w:rsidRPr="00C60C5C" w:rsidRDefault="00537C7F" w:rsidP="0065033B">
      <w:pPr>
        <w:pStyle w:val="ListParagraph"/>
        <w:widowControl w:val="0"/>
        <w:numPr>
          <w:ilvl w:val="0"/>
          <w:numId w:val="11"/>
        </w:numPr>
        <w:autoSpaceDE w:val="0"/>
        <w:autoSpaceDN w:val="0"/>
        <w:adjustRightInd w:val="0"/>
        <w:spacing w:after="155" w:line="240" w:lineRule="auto"/>
        <w:rPr>
          <w:rFonts w:eastAsia="Calibri" w:cs="Arial"/>
          <w:color w:val="000000"/>
        </w:rPr>
      </w:pPr>
      <w:r w:rsidRPr="00C60C5C">
        <w:rPr>
          <w:rFonts w:eastAsia="Calibri" w:cs="Arial"/>
          <w:color w:val="000000"/>
        </w:rPr>
        <w:t xml:space="preserve">Integration of Ontario Works (OW) and Ontario Disability Support Plan (ODSP) employment services programs into a transformed Employment Ontario (EO) to create one system; </w:t>
      </w:r>
    </w:p>
    <w:p w14:paraId="6FBFBF4D" w14:textId="68DD9668" w:rsidR="00537C7F" w:rsidRPr="00C60C5C" w:rsidRDefault="00537C7F" w:rsidP="0065033B">
      <w:pPr>
        <w:pStyle w:val="ListParagraph"/>
        <w:widowControl w:val="0"/>
        <w:numPr>
          <w:ilvl w:val="0"/>
          <w:numId w:val="11"/>
        </w:numPr>
        <w:autoSpaceDE w:val="0"/>
        <w:autoSpaceDN w:val="0"/>
        <w:adjustRightInd w:val="0"/>
        <w:spacing w:after="155" w:line="240" w:lineRule="auto"/>
        <w:rPr>
          <w:rFonts w:eastAsia="Calibri" w:cs="Arial"/>
          <w:color w:val="000000"/>
        </w:rPr>
      </w:pPr>
      <w:r w:rsidRPr="00C60C5C">
        <w:rPr>
          <w:rFonts w:eastAsia="Calibri" w:cs="Arial"/>
          <w:color w:val="000000"/>
        </w:rPr>
        <w:t>Selection of Service System Managers (SSM) through a competitive process open to any public, not-for-profit</w:t>
      </w:r>
      <w:r w:rsidR="00BA7E08">
        <w:rPr>
          <w:rFonts w:eastAsia="Calibri" w:cs="Arial"/>
          <w:color w:val="000000"/>
        </w:rPr>
        <w:t>,</w:t>
      </w:r>
      <w:r w:rsidRPr="00C60C5C">
        <w:rPr>
          <w:rFonts w:eastAsia="Calibri" w:cs="Arial"/>
          <w:color w:val="000000"/>
        </w:rPr>
        <w:t xml:space="preserve"> and private sector organization, as well as Consolidated Municipal Service Managers and District Social Services Administration Boards; </w:t>
      </w:r>
    </w:p>
    <w:p w14:paraId="2A1ACE62" w14:textId="77777777" w:rsidR="00537C7F" w:rsidRPr="00C60C5C" w:rsidRDefault="00537C7F" w:rsidP="0065033B">
      <w:pPr>
        <w:pStyle w:val="ListParagraph"/>
        <w:widowControl w:val="0"/>
        <w:numPr>
          <w:ilvl w:val="0"/>
          <w:numId w:val="11"/>
        </w:numPr>
        <w:autoSpaceDE w:val="0"/>
        <w:autoSpaceDN w:val="0"/>
        <w:adjustRightInd w:val="0"/>
        <w:spacing w:after="0" w:line="240" w:lineRule="auto"/>
        <w:rPr>
          <w:rFonts w:eastAsia="Calibri" w:cs="Arial"/>
          <w:color w:val="000000"/>
        </w:rPr>
      </w:pPr>
      <w:r w:rsidRPr="00C60C5C">
        <w:rPr>
          <w:rFonts w:eastAsia="Calibri" w:cs="Arial"/>
          <w:color w:val="000000"/>
        </w:rPr>
        <w:lastRenderedPageBreak/>
        <w:t>Employment services are transformed to work more effectively with other government services, including health and education</w:t>
      </w:r>
      <w:r w:rsidR="006C2F09" w:rsidRPr="00C60C5C">
        <w:rPr>
          <w:rFonts w:eastAsia="Calibri" w:cs="Arial"/>
          <w:color w:val="000000"/>
        </w:rPr>
        <w:t xml:space="preserve"> </w:t>
      </w:r>
      <w:r w:rsidRPr="00C60C5C">
        <w:rPr>
          <w:rFonts w:eastAsia="Calibri" w:cs="Arial"/>
          <w:color w:val="000000"/>
        </w:rPr>
        <w:t>an</w:t>
      </w:r>
      <w:r w:rsidR="006C2F09" w:rsidRPr="00C60C5C">
        <w:rPr>
          <w:rFonts w:eastAsia="Calibri" w:cs="Arial"/>
          <w:color w:val="000000"/>
        </w:rPr>
        <w:t xml:space="preserve">d social services. </w:t>
      </w:r>
      <w:r w:rsidRPr="00C60C5C">
        <w:rPr>
          <w:rFonts w:eastAsia="Calibri" w:cs="Arial"/>
          <w:color w:val="000000"/>
        </w:rPr>
        <w:t xml:space="preserve"> </w:t>
      </w:r>
    </w:p>
    <w:p w14:paraId="616C3E2C" w14:textId="77777777" w:rsidR="00537C7F" w:rsidRPr="00537C7F" w:rsidRDefault="00537C7F" w:rsidP="0065033B">
      <w:pPr>
        <w:widowControl w:val="0"/>
        <w:autoSpaceDE w:val="0"/>
        <w:autoSpaceDN w:val="0"/>
        <w:adjustRightInd w:val="0"/>
        <w:spacing w:after="0" w:line="240" w:lineRule="auto"/>
        <w:rPr>
          <w:rFonts w:eastAsia="Calibri" w:cs="Arial"/>
          <w:color w:val="000000"/>
        </w:rPr>
      </w:pPr>
    </w:p>
    <w:p w14:paraId="1099FD26" w14:textId="77777777" w:rsidR="00537C7F" w:rsidRDefault="00537C7F" w:rsidP="0065033B">
      <w:pPr>
        <w:widowControl w:val="0"/>
        <w:autoSpaceDE w:val="0"/>
        <w:autoSpaceDN w:val="0"/>
        <w:adjustRightInd w:val="0"/>
        <w:spacing w:after="0" w:line="240" w:lineRule="auto"/>
        <w:rPr>
          <w:rFonts w:eastAsia="Calibri" w:cs="Arial"/>
          <w:color w:val="000000"/>
        </w:rPr>
      </w:pPr>
      <w:r w:rsidRPr="00537C7F">
        <w:rPr>
          <w:rFonts w:eastAsia="Calibri" w:cs="Arial"/>
          <w:color w:val="000000"/>
        </w:rPr>
        <w:t>The vision for the new system is one that is locally responsive, efficient</w:t>
      </w:r>
      <w:r w:rsidR="00BA7E08">
        <w:rPr>
          <w:rFonts w:eastAsia="Calibri" w:cs="Arial"/>
          <w:color w:val="000000"/>
        </w:rPr>
        <w:t>,</w:t>
      </w:r>
      <w:r w:rsidRPr="00537C7F">
        <w:rPr>
          <w:rFonts w:eastAsia="Calibri" w:cs="Arial"/>
          <w:color w:val="000000"/>
        </w:rPr>
        <w:t xml:space="preserve"> and effective in delivering sustained employment outcomes for all individuals based on their needs. The primary goals behind the transformation are to reduce fragmentation and duplication, improve client service, increase </w:t>
      </w:r>
      <w:r w:rsidR="00523E8A" w:rsidRPr="00537C7F">
        <w:rPr>
          <w:rFonts w:eastAsia="Calibri" w:cs="Arial"/>
          <w:color w:val="000000"/>
        </w:rPr>
        <w:t>accountability,</w:t>
      </w:r>
      <w:r w:rsidRPr="00537C7F">
        <w:rPr>
          <w:rFonts w:eastAsia="Calibri" w:cs="Arial"/>
          <w:color w:val="000000"/>
        </w:rPr>
        <w:t xml:space="preserve"> and achieve better outcomes for all job seekers and area businesses. At full system maturity, the SSM would be responsible for overseeing a competitive employment and training system. </w:t>
      </w:r>
    </w:p>
    <w:p w14:paraId="7E914223" w14:textId="77777777" w:rsidR="00523E8A" w:rsidRPr="00537C7F" w:rsidRDefault="00523E8A" w:rsidP="0065033B">
      <w:pPr>
        <w:widowControl w:val="0"/>
        <w:autoSpaceDE w:val="0"/>
        <w:autoSpaceDN w:val="0"/>
        <w:adjustRightInd w:val="0"/>
        <w:spacing w:after="0" w:line="240" w:lineRule="auto"/>
        <w:rPr>
          <w:rFonts w:eastAsia="Calibri" w:cs="Arial"/>
          <w:color w:val="000000"/>
        </w:rPr>
      </w:pPr>
    </w:p>
    <w:p w14:paraId="22045908" w14:textId="77777777" w:rsidR="00537C7F" w:rsidRPr="00537C7F" w:rsidRDefault="00537C7F" w:rsidP="0065033B">
      <w:pPr>
        <w:widowControl w:val="0"/>
        <w:spacing w:after="160" w:line="259" w:lineRule="auto"/>
        <w:rPr>
          <w:rFonts w:eastAsia="Calibri" w:cs="Arial"/>
          <w:color w:val="000000"/>
        </w:rPr>
      </w:pPr>
      <w:r w:rsidRPr="00537C7F">
        <w:rPr>
          <w:rFonts w:eastAsia="Calibri" w:cs="Arial"/>
          <w:color w:val="000000"/>
        </w:rPr>
        <w:t xml:space="preserve">MLTSD identified 15 regional catchment areas for SSM implementation across the Province. </w:t>
      </w:r>
    </w:p>
    <w:p w14:paraId="1BD85B9B" w14:textId="530856AA" w:rsidR="00537C7F" w:rsidRPr="00537C7F" w:rsidRDefault="00537C7F" w:rsidP="0065033B">
      <w:pPr>
        <w:widowControl w:val="0"/>
        <w:autoSpaceDE w:val="0"/>
        <w:autoSpaceDN w:val="0"/>
        <w:adjustRightInd w:val="0"/>
        <w:spacing w:after="0" w:line="240" w:lineRule="auto"/>
        <w:rPr>
          <w:rFonts w:eastAsia="Calibri" w:cs="Arial"/>
          <w:color w:val="000000"/>
        </w:rPr>
      </w:pPr>
      <w:r w:rsidRPr="00537C7F">
        <w:rPr>
          <w:rFonts w:eastAsia="Calibri" w:cs="Arial"/>
          <w:color w:val="000000"/>
        </w:rPr>
        <w:t>For those in phase one of the process, which includes the catchment area of Stratford-Bruce Peninsula Economic Region, as announced on September 13</w:t>
      </w:r>
      <w:r w:rsidRPr="00537C7F">
        <w:rPr>
          <w:rFonts w:eastAsia="Calibri" w:cs="Arial"/>
          <w:color w:val="000000"/>
          <w:vertAlign w:val="superscript"/>
        </w:rPr>
        <w:t>th</w:t>
      </w:r>
      <w:r w:rsidRPr="00537C7F">
        <w:rPr>
          <w:rFonts w:eastAsia="Calibri" w:cs="Arial"/>
          <w:color w:val="000000"/>
        </w:rPr>
        <w:t>.</w:t>
      </w:r>
    </w:p>
    <w:p w14:paraId="62949347" w14:textId="18E21A06" w:rsidR="00537C7F" w:rsidRPr="00537C7F" w:rsidRDefault="00537C7F" w:rsidP="0065033B">
      <w:pPr>
        <w:widowControl w:val="0"/>
        <w:autoSpaceDE w:val="0"/>
        <w:autoSpaceDN w:val="0"/>
        <w:adjustRightInd w:val="0"/>
        <w:spacing w:line="240" w:lineRule="auto"/>
        <w:rPr>
          <w:rFonts w:eastAsia="Calibri" w:cs="Arial"/>
          <w:color w:val="000000"/>
        </w:rPr>
      </w:pPr>
      <w:r w:rsidRPr="00537C7F">
        <w:rPr>
          <w:rFonts w:eastAsia="Calibri" w:cs="Arial"/>
        </w:rPr>
        <w:t>The following schedule has been outlined:</w:t>
      </w:r>
    </w:p>
    <w:p w14:paraId="4CFC3EDB" w14:textId="66DBCA23" w:rsidR="00537C7F" w:rsidRPr="00C60C5C" w:rsidRDefault="00537C7F" w:rsidP="0065033B">
      <w:pPr>
        <w:pStyle w:val="ListParagraph"/>
        <w:widowControl w:val="0"/>
        <w:numPr>
          <w:ilvl w:val="0"/>
          <w:numId w:val="12"/>
        </w:numPr>
        <w:spacing w:line="240" w:lineRule="auto"/>
        <w:ind w:left="1080"/>
        <w:rPr>
          <w:rFonts w:eastAsia="Times New Roman" w:cs="Arial"/>
        </w:rPr>
      </w:pPr>
      <w:r w:rsidRPr="00C60C5C">
        <w:rPr>
          <w:rFonts w:eastAsia="Times New Roman" w:cs="Arial"/>
        </w:rPr>
        <w:t>Call for Proposal Release Date - September 14, 2021</w:t>
      </w:r>
    </w:p>
    <w:p w14:paraId="48D663CE" w14:textId="0E16E47D" w:rsidR="00537C7F" w:rsidRPr="00C60C5C" w:rsidRDefault="00537C7F" w:rsidP="0065033B">
      <w:pPr>
        <w:pStyle w:val="ListParagraph"/>
        <w:widowControl w:val="0"/>
        <w:numPr>
          <w:ilvl w:val="0"/>
          <w:numId w:val="12"/>
        </w:numPr>
        <w:spacing w:line="240" w:lineRule="auto"/>
        <w:ind w:left="1080"/>
        <w:rPr>
          <w:rFonts w:eastAsia="Times New Roman" w:cs="Arial"/>
        </w:rPr>
      </w:pPr>
      <w:r w:rsidRPr="00C60C5C">
        <w:rPr>
          <w:rFonts w:eastAsia="Times New Roman" w:cs="Arial"/>
        </w:rPr>
        <w:t>CFP Closing Date – November 5, 2021</w:t>
      </w:r>
    </w:p>
    <w:p w14:paraId="45ABF803" w14:textId="49A857BF" w:rsidR="00537C7F" w:rsidRPr="00C60C5C" w:rsidRDefault="00537C7F" w:rsidP="0065033B">
      <w:pPr>
        <w:pStyle w:val="ListParagraph"/>
        <w:widowControl w:val="0"/>
        <w:numPr>
          <w:ilvl w:val="0"/>
          <w:numId w:val="12"/>
        </w:numPr>
        <w:spacing w:line="240" w:lineRule="auto"/>
        <w:ind w:left="1080"/>
        <w:rPr>
          <w:rFonts w:eastAsia="Times New Roman" w:cs="Arial"/>
        </w:rPr>
      </w:pPr>
      <w:r w:rsidRPr="00C60C5C">
        <w:rPr>
          <w:rFonts w:eastAsia="Times New Roman" w:cs="Arial"/>
        </w:rPr>
        <w:t xml:space="preserve">Formalizing agreements with the new Service System Manager – April 2022 </w:t>
      </w:r>
    </w:p>
    <w:p w14:paraId="5A3B09E2" w14:textId="77777777" w:rsidR="00537C7F" w:rsidRPr="00C60C5C" w:rsidRDefault="00537C7F" w:rsidP="0065033B">
      <w:pPr>
        <w:pStyle w:val="ListParagraph"/>
        <w:widowControl w:val="0"/>
        <w:numPr>
          <w:ilvl w:val="0"/>
          <w:numId w:val="12"/>
        </w:numPr>
        <w:spacing w:line="240" w:lineRule="auto"/>
        <w:ind w:left="1080"/>
        <w:rPr>
          <w:rFonts w:eastAsia="Times New Roman" w:cs="Arial"/>
        </w:rPr>
      </w:pPr>
      <w:r w:rsidRPr="00C60C5C">
        <w:rPr>
          <w:rFonts w:eastAsia="Times New Roman" w:cs="Arial"/>
        </w:rPr>
        <w:t xml:space="preserve">Implementation of the new system – April 2023 </w:t>
      </w:r>
    </w:p>
    <w:p w14:paraId="71567795" w14:textId="6CCADD40" w:rsidR="00893CEB" w:rsidRDefault="00893CEB" w:rsidP="0065033B">
      <w:pPr>
        <w:pStyle w:val="Heading2"/>
        <w:keepNext w:val="0"/>
        <w:keepLines w:val="0"/>
        <w:widowControl w:val="0"/>
      </w:pPr>
      <w:r>
        <w:t>Legal and Legislated Requirements</w:t>
      </w:r>
    </w:p>
    <w:p w14:paraId="3D96D823" w14:textId="77777777" w:rsidR="006258E2" w:rsidRPr="006258E2" w:rsidRDefault="00523E8A" w:rsidP="0065033B">
      <w:pPr>
        <w:widowControl w:val="0"/>
        <w:rPr>
          <w:rFonts w:cs="Arial"/>
          <w:color w:val="1F497D"/>
          <w:sz w:val="22"/>
          <w:szCs w:val="22"/>
        </w:rPr>
      </w:pPr>
      <w:r w:rsidRPr="00537C7F">
        <w:rPr>
          <w:rFonts w:eastAsia="Calibri" w:cs="Arial"/>
          <w:color w:val="000000"/>
        </w:rPr>
        <w:t>Ministry of Labour Training and Skills Development (MLTSD)</w:t>
      </w:r>
      <w:r w:rsidR="006258E2">
        <w:rPr>
          <w:rFonts w:cs="Arial"/>
        </w:rPr>
        <w:t xml:space="preserve"> has defined a Consortium and included parameters as “</w:t>
      </w:r>
      <w:r w:rsidR="006258E2">
        <w:t>a group of two or more organizations that have entered into a written agreement to jointly apply to become an SSM. One organization within the Consortium must act as the lead CFP Applicant that enters into a transfer payment agreement with the ministry. As the legal entity that has entered into the agreement with the ministry, the lead CFP Applicant is responsible for ensuring that the requirements of the agreement are met, including performance, distributing funding, data sharing and continuity of service delivery”.</w:t>
      </w:r>
    </w:p>
    <w:p w14:paraId="1D368FEF" w14:textId="5A2CC680" w:rsidR="008D25B7" w:rsidRPr="008D25B7" w:rsidRDefault="006258E2" w:rsidP="0065033B">
      <w:pPr>
        <w:widowControl w:val="0"/>
        <w:rPr>
          <w:lang w:val="en-CA"/>
        </w:rPr>
      </w:pPr>
      <w:r>
        <w:t xml:space="preserve">The draft </w:t>
      </w:r>
      <w:r w:rsidR="00537C7F" w:rsidRPr="00BE69C7">
        <w:t>Consortium Agreement</w:t>
      </w:r>
      <w:r>
        <w:t xml:space="preserve"> has been prepared</w:t>
      </w:r>
      <w:r w:rsidR="008D25B7">
        <w:t xml:space="preserve">, allowing for future amendments. </w:t>
      </w:r>
      <w:r w:rsidR="008D25B7" w:rsidRPr="008D25B7">
        <w:rPr>
          <w:lang w:val="en-CA"/>
        </w:rPr>
        <w:t xml:space="preserve">The Lead Applicant must submit a copy of the contractual agreement between Consortium members to the ministry prior to executing the </w:t>
      </w:r>
      <w:r w:rsidR="00D673A6">
        <w:rPr>
          <w:lang w:val="en-CA"/>
        </w:rPr>
        <w:t>transfer payment agreement</w:t>
      </w:r>
      <w:r w:rsidR="008D25B7" w:rsidRPr="008D25B7">
        <w:rPr>
          <w:lang w:val="en-CA"/>
        </w:rPr>
        <w:t xml:space="preserve"> with the ministry. </w:t>
      </w:r>
    </w:p>
    <w:p w14:paraId="4B2AF860" w14:textId="77777777" w:rsidR="00893CEB" w:rsidRDefault="00893CEB" w:rsidP="0065033B">
      <w:pPr>
        <w:pStyle w:val="Heading2"/>
        <w:keepNext w:val="0"/>
        <w:keepLines w:val="0"/>
        <w:widowControl w:val="0"/>
      </w:pPr>
      <w:r>
        <w:t>Financial and Resource Implications</w:t>
      </w:r>
    </w:p>
    <w:p w14:paraId="44AAF6BC" w14:textId="2DB4CD99" w:rsidR="00347BD1" w:rsidRDefault="00347BD1" w:rsidP="0065033B">
      <w:pPr>
        <w:pStyle w:val="Heading1"/>
        <w:keepNext w:val="0"/>
        <w:keepLines w:val="0"/>
        <w:widowControl w:val="0"/>
        <w:rPr>
          <w:sz w:val="24"/>
          <w:szCs w:val="24"/>
        </w:rPr>
      </w:pPr>
      <w:bookmarkStart w:id="0" w:name="_Hlk84492692"/>
      <w:r w:rsidRPr="00537C7F">
        <w:rPr>
          <w:rFonts w:eastAsiaTheme="minorHAnsi" w:cstheme="minorBidi"/>
          <w:sz w:val="24"/>
          <w:szCs w:val="24"/>
        </w:rPr>
        <w:t>There is no direct financial impact to complete the consortium agreement and submit the call for proposal</w:t>
      </w:r>
      <w:r>
        <w:rPr>
          <w:rFonts w:eastAsiaTheme="minorHAnsi" w:cstheme="minorBidi"/>
          <w:sz w:val="24"/>
          <w:szCs w:val="24"/>
        </w:rPr>
        <w:t>.</w:t>
      </w:r>
      <w:bookmarkEnd w:id="0"/>
      <w:r>
        <w:rPr>
          <w:rFonts w:eastAsiaTheme="minorHAnsi" w:cstheme="minorBidi"/>
          <w:sz w:val="24"/>
          <w:szCs w:val="24"/>
        </w:rPr>
        <w:t xml:space="preserve"> In 2023, Grey County will no longer receive </w:t>
      </w:r>
      <w:r w:rsidRPr="00537C7F">
        <w:rPr>
          <w:sz w:val="24"/>
          <w:szCs w:val="24"/>
        </w:rPr>
        <w:t>funding to offer employment services, as they will be offered through the successful Service System Manager.</w:t>
      </w:r>
      <w:r>
        <w:rPr>
          <w:sz w:val="24"/>
          <w:szCs w:val="24"/>
        </w:rPr>
        <w:t xml:space="preserve"> </w:t>
      </w:r>
      <w:r w:rsidRPr="00537C7F">
        <w:rPr>
          <w:sz w:val="24"/>
          <w:szCs w:val="24"/>
        </w:rPr>
        <w:t xml:space="preserve">At this time, </w:t>
      </w:r>
      <w:r>
        <w:rPr>
          <w:sz w:val="24"/>
          <w:szCs w:val="24"/>
        </w:rPr>
        <w:t xml:space="preserve">the exact amount of funding to be discontinued </w:t>
      </w:r>
      <w:r w:rsidRPr="00537C7F">
        <w:rPr>
          <w:sz w:val="24"/>
          <w:szCs w:val="24"/>
        </w:rPr>
        <w:t>is unclear</w:t>
      </w:r>
      <w:r>
        <w:rPr>
          <w:sz w:val="24"/>
          <w:szCs w:val="24"/>
        </w:rPr>
        <w:t xml:space="preserve">. The </w:t>
      </w:r>
      <w:r>
        <w:rPr>
          <w:sz w:val="24"/>
          <w:szCs w:val="24"/>
        </w:rPr>
        <w:lastRenderedPageBreak/>
        <w:t>provincial administrative support for Ontario Works is already frozen at 2018 levels resulting in a levy impact to Grey County projected to be about $140,000 in 2022.</w:t>
      </w:r>
    </w:p>
    <w:p w14:paraId="3B05E0D8" w14:textId="05303B3E" w:rsidR="00537C7F" w:rsidRPr="00537C7F" w:rsidRDefault="00347BD1" w:rsidP="0065033B">
      <w:pPr>
        <w:pStyle w:val="Heading1"/>
        <w:keepNext w:val="0"/>
        <w:keepLines w:val="0"/>
        <w:widowControl w:val="0"/>
        <w:rPr>
          <w:sz w:val="24"/>
          <w:szCs w:val="24"/>
        </w:rPr>
      </w:pPr>
      <w:r>
        <w:rPr>
          <w:sz w:val="24"/>
          <w:szCs w:val="24"/>
        </w:rPr>
        <w:t>Under the Employment Services Transformation model, the</w:t>
      </w:r>
      <w:r w:rsidR="00537C7F" w:rsidRPr="00537C7F">
        <w:rPr>
          <w:sz w:val="24"/>
          <w:szCs w:val="24"/>
        </w:rPr>
        <w:t xml:space="preserve"> estimated annual budget allocation and client volumes for the Stratford-Bruce Peninsula economic region is $12.7 million with an estimated annual client volume of 4,850. The core components of funding model include:</w:t>
      </w:r>
    </w:p>
    <w:p w14:paraId="42FCDCA9" w14:textId="77777777" w:rsidR="00537C7F" w:rsidRPr="00537C7F" w:rsidRDefault="00537C7F" w:rsidP="0065033B">
      <w:pPr>
        <w:pStyle w:val="Heading1"/>
        <w:keepNext w:val="0"/>
        <w:keepLines w:val="0"/>
        <w:widowControl w:val="0"/>
        <w:rPr>
          <w:sz w:val="24"/>
          <w:szCs w:val="24"/>
        </w:rPr>
      </w:pPr>
      <w:r w:rsidRPr="00537C7F">
        <w:rPr>
          <w:sz w:val="24"/>
          <w:szCs w:val="24"/>
          <w:u w:val="single"/>
        </w:rPr>
        <w:t>Operational Funding:</w:t>
      </w:r>
      <w:r w:rsidRPr="00537C7F">
        <w:rPr>
          <w:sz w:val="24"/>
          <w:szCs w:val="24"/>
        </w:rPr>
        <w:t xml:space="preserve"> Direct delivery and/or subcontracted delivery of the components of</w:t>
      </w:r>
      <w:r>
        <w:rPr>
          <w:sz w:val="24"/>
          <w:szCs w:val="24"/>
        </w:rPr>
        <w:t xml:space="preserve"> </w:t>
      </w:r>
      <w:r w:rsidRPr="00537C7F">
        <w:rPr>
          <w:sz w:val="24"/>
          <w:szCs w:val="24"/>
        </w:rPr>
        <w:t xml:space="preserve">the project, including supporting administration, </w:t>
      </w:r>
      <w:r w:rsidR="00523E8A" w:rsidRPr="00537C7F">
        <w:rPr>
          <w:sz w:val="24"/>
          <w:szCs w:val="24"/>
        </w:rPr>
        <w:t>utilities,</w:t>
      </w:r>
      <w:r w:rsidRPr="00537C7F">
        <w:rPr>
          <w:sz w:val="24"/>
          <w:szCs w:val="24"/>
        </w:rPr>
        <w:t xml:space="preserve"> and other</w:t>
      </w:r>
      <w:r>
        <w:rPr>
          <w:sz w:val="24"/>
          <w:szCs w:val="24"/>
        </w:rPr>
        <w:t xml:space="preserve"> </w:t>
      </w:r>
      <w:r w:rsidRPr="00537C7F">
        <w:rPr>
          <w:sz w:val="24"/>
          <w:szCs w:val="24"/>
        </w:rPr>
        <w:t>operational costs for service delivery.</w:t>
      </w:r>
    </w:p>
    <w:p w14:paraId="6B8F8ABE" w14:textId="1D8F0CC2" w:rsidR="00537C7F" w:rsidRPr="00537C7F" w:rsidRDefault="00537C7F" w:rsidP="0065033B">
      <w:pPr>
        <w:pStyle w:val="Heading1"/>
        <w:keepNext w:val="0"/>
        <w:keepLines w:val="0"/>
        <w:widowControl w:val="0"/>
        <w:rPr>
          <w:sz w:val="24"/>
          <w:szCs w:val="24"/>
        </w:rPr>
      </w:pPr>
      <w:r w:rsidRPr="00537C7F">
        <w:rPr>
          <w:sz w:val="24"/>
          <w:szCs w:val="24"/>
          <w:u w:val="single"/>
        </w:rPr>
        <w:t>Performance-Based Funding:</w:t>
      </w:r>
      <w:r w:rsidRPr="00537C7F">
        <w:rPr>
          <w:sz w:val="24"/>
          <w:szCs w:val="24"/>
        </w:rPr>
        <w:t xml:space="preserve"> Performance-based funding payments to SSMs will occur when clients meet certain employment parameters at checkpoints that occur as part of the client monitoring process.</w:t>
      </w:r>
    </w:p>
    <w:p w14:paraId="7CCA97C7" w14:textId="77777777" w:rsidR="00537C7F" w:rsidRPr="00537C7F" w:rsidRDefault="00537C7F" w:rsidP="0065033B">
      <w:pPr>
        <w:pStyle w:val="Heading1"/>
        <w:keepNext w:val="0"/>
        <w:keepLines w:val="0"/>
        <w:widowControl w:val="0"/>
        <w:rPr>
          <w:sz w:val="24"/>
          <w:szCs w:val="24"/>
        </w:rPr>
      </w:pPr>
      <w:r w:rsidRPr="00537C7F">
        <w:rPr>
          <w:sz w:val="24"/>
          <w:szCs w:val="24"/>
          <w:u w:val="single"/>
        </w:rPr>
        <w:t>Employment related Financial Supports for Job Seekers and Employers:</w:t>
      </w:r>
      <w:r w:rsidRPr="00537C7F">
        <w:rPr>
          <w:sz w:val="24"/>
          <w:szCs w:val="24"/>
        </w:rPr>
        <w:t xml:space="preserve"> Provided to support clients and employers by addressing temporary financial barriers to participation in employment or employment related activities.</w:t>
      </w:r>
    </w:p>
    <w:p w14:paraId="032D97C5" w14:textId="265D65E2" w:rsidR="00537C7F" w:rsidRDefault="00537C7F" w:rsidP="0065033B">
      <w:pPr>
        <w:pStyle w:val="Heading1"/>
        <w:keepNext w:val="0"/>
        <w:keepLines w:val="0"/>
        <w:widowControl w:val="0"/>
        <w:rPr>
          <w:sz w:val="24"/>
          <w:szCs w:val="24"/>
        </w:rPr>
      </w:pPr>
      <w:r w:rsidRPr="00537C7F">
        <w:rPr>
          <w:sz w:val="24"/>
          <w:szCs w:val="24"/>
        </w:rPr>
        <w:t xml:space="preserve">The Transfer Payment Agreement (TPA) term for the SSM will be initially three years with two additional one-year terms possible (total potential of five years). </w:t>
      </w:r>
    </w:p>
    <w:p w14:paraId="30D69957" w14:textId="1BADCC04" w:rsidR="00347BD1" w:rsidRPr="00347BD1" w:rsidRDefault="00347BD1" w:rsidP="00347BD1">
      <w:r>
        <w:t xml:space="preserve">There is an expectation </w:t>
      </w:r>
      <w:r w:rsidR="004C2F93">
        <w:t xml:space="preserve">by the province </w:t>
      </w:r>
      <w:r>
        <w:t>that the Service System Manager will take on an e</w:t>
      </w:r>
      <w:r w:rsidR="004C2F93">
        <w:t>lement of risk. Some portion</w:t>
      </w:r>
      <w:r w:rsidR="007F478F">
        <w:t>s</w:t>
      </w:r>
      <w:r w:rsidR="004C2F93">
        <w:t xml:space="preserve"> of the funding to provide the service are based on meeting targets for getting people into employment and ensuring that they maintain this employment. Failure to meet the targets will result in a smaller transfer payment or clawbacks. This introduces uncertainty into the budgeting process and the potential for budget shortfalls that would need to be made up from the levy as the county’s labour costs are fixed and not able to be quickly adjusted to align with performance outcomes.</w:t>
      </w:r>
    </w:p>
    <w:p w14:paraId="0EC8742C" w14:textId="5BBA4A45" w:rsidR="003B020D" w:rsidRDefault="003B020D" w:rsidP="0065033B">
      <w:pPr>
        <w:pStyle w:val="Heading1"/>
        <w:keepNext w:val="0"/>
        <w:keepLines w:val="0"/>
        <w:widowControl w:val="0"/>
      </w:pPr>
      <w:r>
        <w:t>Relevant Consultation</w:t>
      </w:r>
    </w:p>
    <w:p w14:paraId="3B1D7D2A" w14:textId="5C6ABCA9" w:rsidR="003B020D" w:rsidRDefault="007F478F" w:rsidP="0065033B">
      <w:pPr>
        <w:widowControl w:val="0"/>
      </w:pPr>
      <w:sdt>
        <w:sdtPr>
          <w:id w:val="827018171"/>
          <w14:checkbox>
            <w14:checked w14:val="1"/>
            <w14:checkedState w14:val="2612" w14:font="MS Gothic"/>
            <w14:uncheckedState w14:val="2610" w14:font="MS Gothic"/>
          </w14:checkbox>
        </w:sdtPr>
        <w:sdtEndPr/>
        <w:sdtContent>
          <w:r w:rsidR="003B020D">
            <w:rPr>
              <w:rFonts w:ascii="MS Gothic" w:eastAsia="MS Gothic" w:hAnsi="MS Gothic" w:hint="eastAsia"/>
            </w:rPr>
            <w:t>☒</w:t>
          </w:r>
        </w:sdtContent>
      </w:sdt>
      <w:r w:rsidR="003B020D">
        <w:tab/>
        <w:t xml:space="preserve">Internal </w:t>
      </w:r>
    </w:p>
    <w:p w14:paraId="75577FE5" w14:textId="53986765" w:rsidR="003B020D" w:rsidRDefault="003B020D" w:rsidP="0065033B">
      <w:pPr>
        <w:pStyle w:val="ListParagraph"/>
        <w:widowControl w:val="0"/>
        <w:numPr>
          <w:ilvl w:val="0"/>
          <w:numId w:val="13"/>
        </w:numPr>
      </w:pPr>
      <w:r>
        <w:t>Grey County Economic Development</w:t>
      </w:r>
    </w:p>
    <w:p w14:paraId="38D26F39" w14:textId="77777777" w:rsidR="003B020D" w:rsidRDefault="007F478F" w:rsidP="0065033B">
      <w:pPr>
        <w:widowControl w:val="0"/>
      </w:pPr>
      <w:sdt>
        <w:sdtPr>
          <w:id w:val="-1812244202"/>
          <w14:checkbox>
            <w14:checked w14:val="1"/>
            <w14:checkedState w14:val="2612" w14:font="MS Gothic"/>
            <w14:uncheckedState w14:val="2610" w14:font="MS Gothic"/>
          </w14:checkbox>
        </w:sdtPr>
        <w:sdtEndPr/>
        <w:sdtContent>
          <w:r w:rsidR="003B020D">
            <w:rPr>
              <w:rFonts w:ascii="MS Gothic" w:eastAsia="MS Gothic" w:hAnsi="MS Gothic" w:hint="eastAsia"/>
            </w:rPr>
            <w:t>☒</w:t>
          </w:r>
        </w:sdtContent>
      </w:sdt>
      <w:r w:rsidR="003B020D">
        <w:tab/>
        <w:t xml:space="preserve">External </w:t>
      </w:r>
    </w:p>
    <w:p w14:paraId="7C01C16F" w14:textId="05D47ABC" w:rsidR="003B020D" w:rsidRDefault="003B020D" w:rsidP="0065033B">
      <w:pPr>
        <w:pStyle w:val="ListParagraph"/>
        <w:widowControl w:val="0"/>
        <w:numPr>
          <w:ilvl w:val="0"/>
          <w:numId w:val="13"/>
        </w:numPr>
      </w:pPr>
      <w:r>
        <w:t>Bruce County, Huron County, and City of Stratford staff and various community agencies providing employment services.</w:t>
      </w:r>
    </w:p>
    <w:p w14:paraId="03F179A6" w14:textId="77777777" w:rsidR="00893CEB" w:rsidRDefault="00893CEB" w:rsidP="0065033B">
      <w:pPr>
        <w:pStyle w:val="Heading3"/>
        <w:keepNext w:val="0"/>
        <w:keepLines w:val="0"/>
        <w:widowControl w:val="0"/>
      </w:pPr>
      <w:r>
        <w:t>Appendices and Attachments</w:t>
      </w:r>
    </w:p>
    <w:p w14:paraId="6A66B675" w14:textId="77777777" w:rsidR="006258E2" w:rsidRPr="006258E2" w:rsidRDefault="007F478F" w:rsidP="0065033B">
      <w:pPr>
        <w:widowControl w:val="0"/>
      </w:pPr>
      <w:hyperlink r:id="rId12" w:history="1">
        <w:r w:rsidR="006258E2">
          <w:rPr>
            <w:rStyle w:val="Hyperlink"/>
          </w:rPr>
          <w:t>Request for Qualification 2021 - Employment Services Transformation</w:t>
        </w:r>
      </w:hyperlink>
    </w:p>
    <w:p w14:paraId="01729F84" w14:textId="7C726246" w:rsidR="003F3F67" w:rsidRDefault="007F478F" w:rsidP="0065033B">
      <w:pPr>
        <w:widowControl w:val="0"/>
        <w:tabs>
          <w:tab w:val="right" w:pos="9360"/>
        </w:tabs>
        <w:sectPr w:rsidR="003F3F67" w:rsidSect="00906BC5">
          <w:footerReference w:type="default" r:id="rId13"/>
          <w:pgSz w:w="12240" w:h="15840"/>
          <w:pgMar w:top="1440" w:right="1440" w:bottom="1440" w:left="1440" w:header="720" w:footer="720" w:gutter="0"/>
          <w:cols w:space="720"/>
          <w:docGrid w:linePitch="360"/>
        </w:sectPr>
      </w:pPr>
      <w:hyperlink r:id="rId14" w:history="1">
        <w:r w:rsidR="003F3F67" w:rsidRPr="00B566F2">
          <w:rPr>
            <w:rStyle w:val="Hyperlink"/>
          </w:rPr>
          <w:t>Draft Consortium Agreement</w:t>
        </w:r>
      </w:hyperlink>
      <w:r w:rsidR="003F3F67">
        <w:t xml:space="preserve"> </w:t>
      </w:r>
    </w:p>
    <w:p w14:paraId="3F6AC699" w14:textId="77777777" w:rsidR="00CC7816" w:rsidRPr="00CC7816" w:rsidRDefault="00CC7816" w:rsidP="007024C3">
      <w:pPr>
        <w:pStyle w:val="BodyText"/>
        <w:spacing w:before="80"/>
        <w:ind w:left="120" w:right="134"/>
        <w:rPr>
          <w:lang w:val="en-CA"/>
        </w:rPr>
      </w:pPr>
    </w:p>
    <w:sectPr w:rsidR="00CC7816" w:rsidRPr="00CC7816">
      <w:headerReference w:type="even" r:id="rId15"/>
      <w:headerReference w:type="default" r:id="rId16"/>
      <w:footerReference w:type="even" r:id="rId17"/>
      <w:footerReference w:type="default" r:id="rId18"/>
      <w:headerReference w:type="first" r:id="rId19"/>
      <w:footerReference w:type="first" r:id="rId20"/>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D0568" w14:textId="77777777" w:rsidR="007024C3" w:rsidRDefault="007024C3" w:rsidP="004B6AC1">
      <w:pPr>
        <w:spacing w:after="0" w:line="240" w:lineRule="auto"/>
      </w:pPr>
      <w:r>
        <w:separator/>
      </w:r>
    </w:p>
  </w:endnote>
  <w:endnote w:type="continuationSeparator" w:id="0">
    <w:p w14:paraId="61A041AE" w14:textId="77777777" w:rsidR="007024C3" w:rsidRDefault="007024C3"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CC96" w14:textId="77777777" w:rsidR="007024C3" w:rsidRDefault="007024C3" w:rsidP="00906BC5">
    <w:pPr>
      <w:pStyle w:val="Footer"/>
      <w:jc w:val="center"/>
    </w:pPr>
    <w:r>
      <w:rPr>
        <w:sz w:val="22"/>
        <w:szCs w:val="22"/>
      </w:rPr>
      <w:t>SSR-CW-07-21</w:t>
    </w:r>
    <w:r>
      <w:t xml:space="preserve"> </w:t>
    </w:r>
    <w:r>
      <w:tab/>
    </w:r>
    <w:sdt>
      <w:sdtPr>
        <w:id w:val="-1318193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Date: October 14,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2237" w14:textId="77777777" w:rsidR="007024C3" w:rsidRDefault="0070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7419" w14:textId="293125D9" w:rsidR="007024C3" w:rsidRDefault="007024C3">
    <w:pPr>
      <w:pStyle w:val="Footer"/>
      <w:jc w:val="right"/>
    </w:pPr>
  </w:p>
  <w:p w14:paraId="3D1ACE3B" w14:textId="77777777" w:rsidR="007024C3" w:rsidRDefault="00702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24DC" w14:textId="254E29A1" w:rsidR="007024C3" w:rsidRDefault="0070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BEB5" w14:textId="77777777" w:rsidR="007024C3" w:rsidRDefault="007024C3" w:rsidP="004B6AC1">
      <w:pPr>
        <w:spacing w:after="0" w:line="240" w:lineRule="auto"/>
      </w:pPr>
      <w:r>
        <w:separator/>
      </w:r>
    </w:p>
  </w:footnote>
  <w:footnote w:type="continuationSeparator" w:id="0">
    <w:p w14:paraId="389C0543" w14:textId="77777777" w:rsidR="007024C3" w:rsidRDefault="007024C3" w:rsidP="004B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207D" w14:textId="77777777" w:rsidR="007024C3" w:rsidRDefault="0070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73293"/>
      <w:docPartObj>
        <w:docPartGallery w:val="Watermarks"/>
        <w:docPartUnique/>
      </w:docPartObj>
    </w:sdtPr>
    <w:sdtEndPr/>
    <w:sdtContent>
      <w:p w14:paraId="59B02519" w14:textId="77777777" w:rsidR="007024C3" w:rsidRDefault="007F478F">
        <w:pPr>
          <w:pStyle w:val="Header"/>
        </w:pPr>
        <w:r>
          <w:rPr>
            <w:noProof/>
          </w:rPr>
          <w:pict w14:anchorId="2D87D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6AA8" w14:textId="77777777" w:rsidR="007024C3" w:rsidRDefault="0070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D7A6D"/>
    <w:multiLevelType w:val="multilevel"/>
    <w:tmpl w:val="0016C76E"/>
    <w:lvl w:ilvl="0">
      <w:start w:val="12"/>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210A"/>
    <w:multiLevelType w:val="multilevel"/>
    <w:tmpl w:val="7832796C"/>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B7E04"/>
    <w:multiLevelType w:val="multilevel"/>
    <w:tmpl w:val="8AFEBEE0"/>
    <w:lvl w:ilvl="0">
      <w:start w:val="4"/>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100"/>
        <w:sz w:val="24"/>
        <w:szCs w:val="24"/>
      </w:rPr>
    </w:lvl>
    <w:lvl w:ilvl="3">
      <w:start w:val="1"/>
      <w:numFmt w:val="lowerRoman"/>
      <w:lvlText w:val="%4."/>
      <w:lvlJc w:val="left"/>
      <w:pPr>
        <w:ind w:left="1821" w:hanging="569"/>
      </w:pPr>
      <w:rPr>
        <w:rFonts w:ascii="Arial" w:eastAsia="Arial" w:hAnsi="Arial" w:cs="Arial" w:hint="default"/>
        <w:b w:val="0"/>
        <w:bCs w:val="0"/>
        <w:i w:val="0"/>
        <w:iCs w:val="0"/>
        <w:spacing w:val="-1"/>
        <w:w w:val="100"/>
        <w:sz w:val="24"/>
        <w:szCs w:val="24"/>
      </w:rPr>
    </w:lvl>
    <w:lvl w:ilvl="4">
      <w:numFmt w:val="bullet"/>
      <w:lvlText w:val="•"/>
      <w:lvlJc w:val="left"/>
      <w:pPr>
        <w:ind w:left="3765" w:hanging="569"/>
      </w:pPr>
      <w:rPr>
        <w:rFonts w:hint="default"/>
      </w:rPr>
    </w:lvl>
    <w:lvl w:ilvl="5">
      <w:numFmt w:val="bullet"/>
      <w:lvlText w:val="•"/>
      <w:lvlJc w:val="left"/>
      <w:pPr>
        <w:ind w:left="4737" w:hanging="569"/>
      </w:pPr>
      <w:rPr>
        <w:rFonts w:hint="default"/>
      </w:rPr>
    </w:lvl>
    <w:lvl w:ilvl="6">
      <w:numFmt w:val="bullet"/>
      <w:lvlText w:val="•"/>
      <w:lvlJc w:val="left"/>
      <w:pPr>
        <w:ind w:left="5710" w:hanging="569"/>
      </w:pPr>
      <w:rPr>
        <w:rFonts w:hint="default"/>
      </w:rPr>
    </w:lvl>
    <w:lvl w:ilvl="7">
      <w:numFmt w:val="bullet"/>
      <w:lvlText w:val="•"/>
      <w:lvlJc w:val="left"/>
      <w:pPr>
        <w:ind w:left="6682" w:hanging="569"/>
      </w:pPr>
      <w:rPr>
        <w:rFonts w:hint="default"/>
      </w:rPr>
    </w:lvl>
    <w:lvl w:ilvl="8">
      <w:numFmt w:val="bullet"/>
      <w:lvlText w:val="•"/>
      <w:lvlJc w:val="left"/>
      <w:pPr>
        <w:ind w:left="7655" w:hanging="569"/>
      </w:pPr>
      <w:rPr>
        <w:rFonts w:hint="default"/>
      </w:rPr>
    </w:lvl>
  </w:abstractNum>
  <w:abstractNum w:abstractNumId="5" w15:restartNumberingAfterBreak="0">
    <w:nsid w:val="14BF2AF1"/>
    <w:multiLevelType w:val="hybridMultilevel"/>
    <w:tmpl w:val="92C4DD2C"/>
    <w:lvl w:ilvl="0" w:tplc="1A2EA12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7E22A8"/>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15:restartNumberingAfterBreak="0">
    <w:nsid w:val="1A2E12C2"/>
    <w:multiLevelType w:val="multilevel"/>
    <w:tmpl w:val="9246F43C"/>
    <w:lvl w:ilvl="0">
      <w:start w:val="1"/>
      <w:numFmt w:val="decimal"/>
      <w:lvlText w:val="%1."/>
      <w:lvlJc w:val="left"/>
      <w:pPr>
        <w:ind w:left="516" w:hanging="396"/>
      </w:pPr>
      <w:rPr>
        <w:rFonts w:hint="default"/>
        <w:spacing w:val="-2"/>
        <w:w w:val="100"/>
      </w:rPr>
    </w:lvl>
    <w:lvl w:ilvl="1">
      <w:start w:val="1"/>
      <w:numFmt w:val="decimal"/>
      <w:lvlText w:val="%1.%2."/>
      <w:lvlJc w:val="left"/>
      <w:pPr>
        <w:ind w:left="840" w:hanging="720"/>
      </w:pPr>
      <w:rPr>
        <w:rFonts w:ascii="Arial" w:eastAsia="Arial" w:hAnsi="Arial" w:cs="Arial" w:hint="default"/>
        <w:b w:val="0"/>
        <w:bCs w:val="0"/>
        <w:i w:val="0"/>
        <w:iCs w:val="0"/>
        <w:spacing w:val="-5"/>
        <w:w w:val="100"/>
        <w:sz w:val="24"/>
        <w:szCs w:val="24"/>
      </w:rPr>
    </w:lvl>
    <w:lvl w:ilvl="2">
      <w:numFmt w:val="bullet"/>
      <w:lvlText w:val="•"/>
      <w:lvlJc w:val="left"/>
      <w:pPr>
        <w:ind w:left="1813" w:hanging="720"/>
      </w:pPr>
      <w:rPr>
        <w:rFonts w:hint="default"/>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8" w15:restartNumberingAfterBreak="0">
    <w:nsid w:val="1D520DD3"/>
    <w:multiLevelType w:val="hybridMultilevel"/>
    <w:tmpl w:val="D0D28DE6"/>
    <w:lvl w:ilvl="0" w:tplc="25E6573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EA11EE"/>
    <w:multiLevelType w:val="hybridMultilevel"/>
    <w:tmpl w:val="4FD4CD76"/>
    <w:lvl w:ilvl="0" w:tplc="E618C4F2">
      <w:start w:val="1"/>
      <w:numFmt w:val="decimal"/>
      <w:pStyle w:val="Level1"/>
      <w:lvlText w:val="%1."/>
      <w:lvlJc w:val="left"/>
      <w:pPr>
        <w:ind w:left="720" w:hanging="360"/>
      </w:pPr>
      <w:rPr>
        <w:rFonts w:hint="default"/>
        <w:b w:val="0"/>
        <w:bCs/>
        <w:strike w:val="0"/>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C4B65"/>
    <w:multiLevelType w:val="hybridMultilevel"/>
    <w:tmpl w:val="3174AEDE"/>
    <w:lvl w:ilvl="0" w:tplc="1A2EA12C">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B2DFB"/>
    <w:multiLevelType w:val="multilevel"/>
    <w:tmpl w:val="F7C042B2"/>
    <w:lvl w:ilvl="0">
      <w:start w:val="3"/>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5"/>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99"/>
        <w:sz w:val="24"/>
        <w:szCs w:val="24"/>
      </w:rPr>
    </w:lvl>
    <w:lvl w:ilvl="3">
      <w:start w:val="1"/>
      <w:numFmt w:val="lowerRoman"/>
      <w:lvlText w:val="%4."/>
      <w:lvlJc w:val="left"/>
      <w:pPr>
        <w:ind w:left="1821" w:hanging="569"/>
      </w:pPr>
      <w:rPr>
        <w:rFonts w:ascii="Arial" w:eastAsia="Arial" w:hAnsi="Arial" w:cs="Arial" w:hint="default"/>
        <w:b w:val="0"/>
        <w:bCs w:val="0"/>
        <w:i w:val="0"/>
        <w:iCs w:val="0"/>
        <w:spacing w:val="-1"/>
        <w:w w:val="100"/>
        <w:sz w:val="24"/>
        <w:szCs w:val="24"/>
      </w:rPr>
    </w:lvl>
    <w:lvl w:ilvl="4">
      <w:numFmt w:val="bullet"/>
      <w:lvlText w:val="•"/>
      <w:lvlJc w:val="left"/>
      <w:pPr>
        <w:ind w:left="3765" w:hanging="569"/>
      </w:pPr>
      <w:rPr>
        <w:rFonts w:hint="default"/>
      </w:rPr>
    </w:lvl>
    <w:lvl w:ilvl="5">
      <w:numFmt w:val="bullet"/>
      <w:lvlText w:val="•"/>
      <w:lvlJc w:val="left"/>
      <w:pPr>
        <w:ind w:left="4737" w:hanging="569"/>
      </w:pPr>
      <w:rPr>
        <w:rFonts w:hint="default"/>
      </w:rPr>
    </w:lvl>
    <w:lvl w:ilvl="6">
      <w:numFmt w:val="bullet"/>
      <w:lvlText w:val="•"/>
      <w:lvlJc w:val="left"/>
      <w:pPr>
        <w:ind w:left="5710" w:hanging="569"/>
      </w:pPr>
      <w:rPr>
        <w:rFonts w:hint="default"/>
      </w:rPr>
    </w:lvl>
    <w:lvl w:ilvl="7">
      <w:numFmt w:val="bullet"/>
      <w:lvlText w:val="•"/>
      <w:lvlJc w:val="left"/>
      <w:pPr>
        <w:ind w:left="6682" w:hanging="569"/>
      </w:pPr>
      <w:rPr>
        <w:rFonts w:hint="default"/>
      </w:rPr>
    </w:lvl>
    <w:lvl w:ilvl="8">
      <w:numFmt w:val="bullet"/>
      <w:lvlText w:val="•"/>
      <w:lvlJc w:val="left"/>
      <w:pPr>
        <w:ind w:left="7655" w:hanging="569"/>
      </w:pPr>
      <w:rPr>
        <w:rFonts w:hint="default"/>
      </w:rPr>
    </w:lvl>
  </w:abstractNum>
  <w:abstractNum w:abstractNumId="14" w15:restartNumberingAfterBreak="0">
    <w:nsid w:val="2FCD0494"/>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5"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12340FB"/>
    <w:multiLevelType w:val="multilevel"/>
    <w:tmpl w:val="31169C2A"/>
    <w:lvl w:ilvl="0">
      <w:start w:val="15"/>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5362279"/>
    <w:multiLevelType w:val="multilevel"/>
    <w:tmpl w:val="5C4C6172"/>
    <w:lvl w:ilvl="0">
      <w:start w:val="11"/>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4"/>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99"/>
        <w:sz w:val="24"/>
        <w:szCs w:val="24"/>
      </w:rPr>
    </w:lvl>
    <w:lvl w:ilvl="3">
      <w:numFmt w:val="bullet"/>
      <w:lvlText w:val="•"/>
      <w:lvlJc w:val="left"/>
      <w:pPr>
        <w:ind w:left="1720" w:hanging="425"/>
      </w:pPr>
      <w:rPr>
        <w:rFonts w:hint="default"/>
      </w:rPr>
    </w:lvl>
    <w:lvl w:ilvl="4">
      <w:numFmt w:val="bullet"/>
      <w:lvlText w:val="•"/>
      <w:lvlJc w:val="left"/>
      <w:pPr>
        <w:ind w:left="2845" w:hanging="425"/>
      </w:pPr>
      <w:rPr>
        <w:rFonts w:hint="default"/>
      </w:rPr>
    </w:lvl>
    <w:lvl w:ilvl="5">
      <w:numFmt w:val="bullet"/>
      <w:lvlText w:val="•"/>
      <w:lvlJc w:val="left"/>
      <w:pPr>
        <w:ind w:left="3971" w:hanging="425"/>
      </w:pPr>
      <w:rPr>
        <w:rFonts w:hint="default"/>
      </w:rPr>
    </w:lvl>
    <w:lvl w:ilvl="6">
      <w:numFmt w:val="bullet"/>
      <w:lvlText w:val="•"/>
      <w:lvlJc w:val="left"/>
      <w:pPr>
        <w:ind w:left="5097" w:hanging="425"/>
      </w:pPr>
      <w:rPr>
        <w:rFonts w:hint="default"/>
      </w:rPr>
    </w:lvl>
    <w:lvl w:ilvl="7">
      <w:numFmt w:val="bullet"/>
      <w:lvlText w:val="•"/>
      <w:lvlJc w:val="left"/>
      <w:pPr>
        <w:ind w:left="6222" w:hanging="425"/>
      </w:pPr>
      <w:rPr>
        <w:rFonts w:hint="default"/>
      </w:rPr>
    </w:lvl>
    <w:lvl w:ilvl="8">
      <w:numFmt w:val="bullet"/>
      <w:lvlText w:val="•"/>
      <w:lvlJc w:val="left"/>
      <w:pPr>
        <w:ind w:left="7348" w:hanging="425"/>
      </w:pPr>
      <w:rPr>
        <w:rFonts w:hint="default"/>
      </w:rPr>
    </w:lvl>
  </w:abstractNum>
  <w:abstractNum w:abstractNumId="19" w15:restartNumberingAfterBreak="0">
    <w:nsid w:val="3BDB7CA7"/>
    <w:multiLevelType w:val="hybridMultilevel"/>
    <w:tmpl w:val="FE8042F6"/>
    <w:lvl w:ilvl="0" w:tplc="1A2EA12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D01A0"/>
    <w:multiLevelType w:val="multilevel"/>
    <w:tmpl w:val="1834EA4C"/>
    <w:lvl w:ilvl="0">
      <w:start w:val="5"/>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5"/>
        <w:w w:val="99"/>
        <w:sz w:val="24"/>
        <w:szCs w:val="24"/>
      </w:rPr>
    </w:lvl>
    <w:lvl w:ilvl="2">
      <w:start w:val="1"/>
      <w:numFmt w:val="lowerLetter"/>
      <w:lvlText w:val="%3."/>
      <w:lvlJc w:val="left"/>
      <w:pPr>
        <w:ind w:left="1252" w:hanging="425"/>
      </w:pPr>
      <w:rPr>
        <w:rFonts w:ascii="Arial" w:eastAsia="Arial" w:hAnsi="Arial" w:cs="Arial" w:hint="default"/>
        <w:b w:val="0"/>
        <w:bCs w:val="0"/>
        <w:i w:val="0"/>
        <w:iCs w:val="0"/>
        <w:spacing w:val="-2"/>
        <w:w w:val="100"/>
        <w:sz w:val="24"/>
        <w:szCs w:val="24"/>
      </w:rPr>
    </w:lvl>
    <w:lvl w:ilvl="3">
      <w:numFmt w:val="bullet"/>
      <w:lvlText w:val="•"/>
      <w:lvlJc w:val="left"/>
      <w:pPr>
        <w:ind w:left="3113" w:hanging="425"/>
      </w:pPr>
      <w:rPr>
        <w:rFonts w:hint="default"/>
      </w:rPr>
    </w:lvl>
    <w:lvl w:ilvl="4">
      <w:numFmt w:val="bullet"/>
      <w:lvlText w:val="•"/>
      <w:lvlJc w:val="left"/>
      <w:pPr>
        <w:ind w:left="4040" w:hanging="425"/>
      </w:pPr>
      <w:rPr>
        <w:rFonts w:hint="default"/>
      </w:rPr>
    </w:lvl>
    <w:lvl w:ilvl="5">
      <w:numFmt w:val="bullet"/>
      <w:lvlText w:val="•"/>
      <w:lvlJc w:val="left"/>
      <w:pPr>
        <w:ind w:left="4966" w:hanging="425"/>
      </w:pPr>
      <w:rPr>
        <w:rFonts w:hint="default"/>
      </w:rPr>
    </w:lvl>
    <w:lvl w:ilvl="6">
      <w:numFmt w:val="bullet"/>
      <w:lvlText w:val="•"/>
      <w:lvlJc w:val="left"/>
      <w:pPr>
        <w:ind w:left="5893" w:hanging="425"/>
      </w:pPr>
      <w:rPr>
        <w:rFonts w:hint="default"/>
      </w:rPr>
    </w:lvl>
    <w:lvl w:ilvl="7">
      <w:numFmt w:val="bullet"/>
      <w:lvlText w:val="•"/>
      <w:lvlJc w:val="left"/>
      <w:pPr>
        <w:ind w:left="6820" w:hanging="425"/>
      </w:pPr>
      <w:rPr>
        <w:rFonts w:hint="default"/>
      </w:rPr>
    </w:lvl>
    <w:lvl w:ilvl="8">
      <w:numFmt w:val="bullet"/>
      <w:lvlText w:val="•"/>
      <w:lvlJc w:val="left"/>
      <w:pPr>
        <w:ind w:left="7746" w:hanging="425"/>
      </w:pPr>
      <w:rPr>
        <w:rFonts w:hint="default"/>
      </w:rPr>
    </w:lvl>
  </w:abstractNum>
  <w:abstractNum w:abstractNumId="21"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5565EB"/>
    <w:multiLevelType w:val="hybridMultilevel"/>
    <w:tmpl w:val="06540AC2"/>
    <w:lvl w:ilvl="0" w:tplc="127453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8D00AC"/>
    <w:multiLevelType w:val="multilevel"/>
    <w:tmpl w:val="E7AA253A"/>
    <w:lvl w:ilvl="0">
      <w:start w:val="13"/>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5617754A"/>
    <w:multiLevelType w:val="multilevel"/>
    <w:tmpl w:val="CD5AB4F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6" w15:restartNumberingAfterBreak="0">
    <w:nsid w:val="58120522"/>
    <w:multiLevelType w:val="multilevel"/>
    <w:tmpl w:val="5646164E"/>
    <w:lvl w:ilvl="0">
      <w:start w:val="18"/>
      <w:numFmt w:val="decimal"/>
      <w:lvlText w:val="%1"/>
      <w:lvlJc w:val="left"/>
      <w:pPr>
        <w:ind w:left="460" w:hanging="460"/>
      </w:pPr>
      <w:rPr>
        <w:rFonts w:hint="default"/>
      </w:rPr>
    </w:lvl>
    <w:lvl w:ilvl="1">
      <w:start w:val="1"/>
      <w:numFmt w:val="decimal"/>
      <w:lvlText w:val="%1.%2"/>
      <w:lvlJc w:val="left"/>
      <w:pPr>
        <w:ind w:left="580" w:hanging="4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5D9A1F2C"/>
    <w:multiLevelType w:val="hybridMultilevel"/>
    <w:tmpl w:val="2D709FB4"/>
    <w:lvl w:ilvl="0" w:tplc="EBFE27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9" w15:restartNumberingAfterBreak="0">
    <w:nsid w:val="63DD51F7"/>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30" w15:restartNumberingAfterBreak="0">
    <w:nsid w:val="6C990ACB"/>
    <w:multiLevelType w:val="hybridMultilevel"/>
    <w:tmpl w:val="8034CAD8"/>
    <w:lvl w:ilvl="0" w:tplc="4FD2A626">
      <w:start w:val="1"/>
      <w:numFmt w:val="upperLetter"/>
      <w:lvlText w:val="%1."/>
      <w:lvlJc w:val="left"/>
      <w:pPr>
        <w:ind w:left="828" w:hanging="708"/>
      </w:pPr>
      <w:rPr>
        <w:rFonts w:ascii="Arial" w:eastAsia="Arial" w:hAnsi="Arial" w:cs="Arial" w:hint="default"/>
        <w:b w:val="0"/>
        <w:bCs w:val="0"/>
        <w:i w:val="0"/>
        <w:iCs w:val="0"/>
        <w:spacing w:val="-2"/>
        <w:w w:val="100"/>
        <w:sz w:val="24"/>
        <w:szCs w:val="24"/>
      </w:rPr>
    </w:lvl>
    <w:lvl w:ilvl="1" w:tplc="AC78142E">
      <w:numFmt w:val="bullet"/>
      <w:lvlText w:val="•"/>
      <w:lvlJc w:val="left"/>
      <w:pPr>
        <w:ind w:left="1698" w:hanging="708"/>
      </w:pPr>
      <w:rPr>
        <w:rFonts w:hint="default"/>
      </w:rPr>
    </w:lvl>
    <w:lvl w:ilvl="2" w:tplc="8D08CF62">
      <w:numFmt w:val="bullet"/>
      <w:lvlText w:val="•"/>
      <w:lvlJc w:val="left"/>
      <w:pPr>
        <w:ind w:left="2576" w:hanging="708"/>
      </w:pPr>
      <w:rPr>
        <w:rFonts w:hint="default"/>
      </w:rPr>
    </w:lvl>
    <w:lvl w:ilvl="3" w:tplc="808E4FD6">
      <w:numFmt w:val="bullet"/>
      <w:lvlText w:val="•"/>
      <w:lvlJc w:val="left"/>
      <w:pPr>
        <w:ind w:left="3454" w:hanging="708"/>
      </w:pPr>
      <w:rPr>
        <w:rFonts w:hint="default"/>
      </w:rPr>
    </w:lvl>
    <w:lvl w:ilvl="4" w:tplc="29923D08">
      <w:numFmt w:val="bullet"/>
      <w:lvlText w:val="•"/>
      <w:lvlJc w:val="left"/>
      <w:pPr>
        <w:ind w:left="4332" w:hanging="708"/>
      </w:pPr>
      <w:rPr>
        <w:rFonts w:hint="default"/>
      </w:rPr>
    </w:lvl>
    <w:lvl w:ilvl="5" w:tplc="EFFC2D0E">
      <w:numFmt w:val="bullet"/>
      <w:lvlText w:val="•"/>
      <w:lvlJc w:val="left"/>
      <w:pPr>
        <w:ind w:left="5210" w:hanging="708"/>
      </w:pPr>
      <w:rPr>
        <w:rFonts w:hint="default"/>
      </w:rPr>
    </w:lvl>
    <w:lvl w:ilvl="6" w:tplc="CA6E9564">
      <w:numFmt w:val="bullet"/>
      <w:lvlText w:val="•"/>
      <w:lvlJc w:val="left"/>
      <w:pPr>
        <w:ind w:left="6088" w:hanging="708"/>
      </w:pPr>
      <w:rPr>
        <w:rFonts w:hint="default"/>
      </w:rPr>
    </w:lvl>
    <w:lvl w:ilvl="7" w:tplc="ACE0BE28">
      <w:numFmt w:val="bullet"/>
      <w:lvlText w:val="•"/>
      <w:lvlJc w:val="left"/>
      <w:pPr>
        <w:ind w:left="6966" w:hanging="708"/>
      </w:pPr>
      <w:rPr>
        <w:rFonts w:hint="default"/>
      </w:rPr>
    </w:lvl>
    <w:lvl w:ilvl="8" w:tplc="955C782A">
      <w:numFmt w:val="bullet"/>
      <w:lvlText w:val="•"/>
      <w:lvlJc w:val="left"/>
      <w:pPr>
        <w:ind w:left="7844" w:hanging="708"/>
      </w:pPr>
      <w:rPr>
        <w:rFonts w:hint="default"/>
      </w:rPr>
    </w:lvl>
  </w:abstractNum>
  <w:abstractNum w:abstractNumId="31" w15:restartNumberingAfterBreak="0">
    <w:nsid w:val="6E49380D"/>
    <w:multiLevelType w:val="multilevel"/>
    <w:tmpl w:val="11042A1A"/>
    <w:lvl w:ilvl="0">
      <w:start w:val="12"/>
      <w:numFmt w:val="decimal"/>
      <w:lvlText w:val="%1"/>
      <w:lvlJc w:val="left"/>
      <w:pPr>
        <w:ind w:left="828" w:hanging="708"/>
      </w:pPr>
      <w:rPr>
        <w:rFonts w:hint="default"/>
      </w:rPr>
    </w:lvl>
    <w:lvl w:ilvl="1">
      <w:start w:val="1"/>
      <w:numFmt w:val="decimal"/>
      <w:lvlText w:val="%1.%2"/>
      <w:lvlJc w:val="left"/>
      <w:pPr>
        <w:ind w:left="828" w:hanging="708"/>
      </w:pPr>
      <w:rPr>
        <w:rFonts w:ascii="Arial" w:eastAsia="Arial" w:hAnsi="Arial" w:cs="Arial" w:hint="default"/>
        <w:b w:val="0"/>
        <w:bCs w:val="0"/>
        <w:i w:val="0"/>
        <w:iCs w:val="0"/>
        <w:spacing w:val="-4"/>
        <w:w w:val="99"/>
        <w:sz w:val="24"/>
        <w:szCs w:val="24"/>
      </w:rPr>
    </w:lvl>
    <w:lvl w:ilvl="2">
      <w:start w:val="1"/>
      <w:numFmt w:val="lowerLetter"/>
      <w:lvlText w:val="%3."/>
      <w:lvlJc w:val="left"/>
      <w:pPr>
        <w:ind w:left="1252" w:hanging="425"/>
      </w:pPr>
      <w:rPr>
        <w:rFonts w:ascii="Arial" w:eastAsia="Arial" w:hAnsi="Arial" w:cs="Arial" w:hint="default"/>
        <w:b w:val="0"/>
        <w:bCs w:val="0"/>
        <w:i w:val="0"/>
        <w:iCs w:val="0"/>
        <w:w w:val="99"/>
        <w:sz w:val="24"/>
        <w:szCs w:val="24"/>
      </w:rPr>
    </w:lvl>
    <w:lvl w:ilvl="3">
      <w:numFmt w:val="bullet"/>
      <w:lvlText w:val="•"/>
      <w:lvlJc w:val="left"/>
      <w:pPr>
        <w:ind w:left="3113" w:hanging="425"/>
      </w:pPr>
      <w:rPr>
        <w:rFonts w:hint="default"/>
      </w:rPr>
    </w:lvl>
    <w:lvl w:ilvl="4">
      <w:numFmt w:val="bullet"/>
      <w:lvlText w:val="•"/>
      <w:lvlJc w:val="left"/>
      <w:pPr>
        <w:ind w:left="4040" w:hanging="425"/>
      </w:pPr>
      <w:rPr>
        <w:rFonts w:hint="default"/>
      </w:rPr>
    </w:lvl>
    <w:lvl w:ilvl="5">
      <w:numFmt w:val="bullet"/>
      <w:lvlText w:val="•"/>
      <w:lvlJc w:val="left"/>
      <w:pPr>
        <w:ind w:left="4966" w:hanging="425"/>
      </w:pPr>
      <w:rPr>
        <w:rFonts w:hint="default"/>
      </w:rPr>
    </w:lvl>
    <w:lvl w:ilvl="6">
      <w:numFmt w:val="bullet"/>
      <w:lvlText w:val="•"/>
      <w:lvlJc w:val="left"/>
      <w:pPr>
        <w:ind w:left="5893" w:hanging="425"/>
      </w:pPr>
      <w:rPr>
        <w:rFonts w:hint="default"/>
      </w:rPr>
    </w:lvl>
    <w:lvl w:ilvl="7">
      <w:numFmt w:val="bullet"/>
      <w:lvlText w:val="•"/>
      <w:lvlJc w:val="left"/>
      <w:pPr>
        <w:ind w:left="6820" w:hanging="425"/>
      </w:pPr>
      <w:rPr>
        <w:rFonts w:hint="default"/>
      </w:rPr>
    </w:lvl>
    <w:lvl w:ilvl="8">
      <w:numFmt w:val="bullet"/>
      <w:lvlText w:val="•"/>
      <w:lvlJc w:val="left"/>
      <w:pPr>
        <w:ind w:left="7746" w:hanging="425"/>
      </w:pPr>
      <w:rPr>
        <w:rFonts w:hint="default"/>
      </w:rPr>
    </w:lvl>
  </w:abstractNum>
  <w:abstractNum w:abstractNumId="32" w15:restartNumberingAfterBreak="0">
    <w:nsid w:val="7A6B3235"/>
    <w:multiLevelType w:val="hybridMultilevel"/>
    <w:tmpl w:val="3B24398A"/>
    <w:lvl w:ilvl="0" w:tplc="DFEE68E2">
      <w:start w:val="1"/>
      <w:numFmt w:val="lowerLetter"/>
      <w:lvlText w:val="%1)"/>
      <w:lvlJc w:val="left"/>
      <w:pPr>
        <w:ind w:left="1187" w:hanging="360"/>
      </w:pPr>
      <w:rPr>
        <w:rFonts w:hint="default"/>
        <w:b w:val="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num w:numId="1">
    <w:abstractNumId w:val="0"/>
  </w:num>
  <w:num w:numId="2">
    <w:abstractNumId w:val="17"/>
  </w:num>
  <w:num w:numId="3">
    <w:abstractNumId w:val="21"/>
  </w:num>
  <w:num w:numId="4">
    <w:abstractNumId w:val="10"/>
  </w:num>
  <w:num w:numId="5">
    <w:abstractNumId w:val="15"/>
  </w:num>
  <w:num w:numId="6">
    <w:abstractNumId w:val="2"/>
  </w:num>
  <w:num w:numId="7">
    <w:abstractNumId w:val="25"/>
  </w:num>
  <w:num w:numId="8">
    <w:abstractNumId w:val="9"/>
  </w:num>
  <w:num w:numId="9">
    <w:abstractNumId w:val="28"/>
  </w:num>
  <w:num w:numId="10">
    <w:abstractNumId w:val="11"/>
  </w:num>
  <w:num w:numId="11">
    <w:abstractNumId w:val="5"/>
  </w:num>
  <w:num w:numId="12">
    <w:abstractNumId w:val="12"/>
  </w:num>
  <w:num w:numId="13">
    <w:abstractNumId w:val="19"/>
  </w:num>
  <w:num w:numId="14">
    <w:abstractNumId w:val="31"/>
  </w:num>
  <w:num w:numId="15">
    <w:abstractNumId w:val="18"/>
  </w:num>
  <w:num w:numId="16">
    <w:abstractNumId w:val="20"/>
  </w:num>
  <w:num w:numId="17">
    <w:abstractNumId w:val="4"/>
  </w:num>
  <w:num w:numId="18">
    <w:abstractNumId w:val="13"/>
  </w:num>
  <w:num w:numId="19">
    <w:abstractNumId w:val="7"/>
  </w:num>
  <w:num w:numId="20">
    <w:abstractNumId w:val="30"/>
  </w:num>
  <w:num w:numId="21">
    <w:abstractNumId w:val="6"/>
  </w:num>
  <w:num w:numId="22">
    <w:abstractNumId w:val="14"/>
  </w:num>
  <w:num w:numId="23">
    <w:abstractNumId w:val="8"/>
  </w:num>
  <w:num w:numId="24">
    <w:abstractNumId w:val="32"/>
  </w:num>
  <w:num w:numId="25">
    <w:abstractNumId w:val="29"/>
  </w:num>
  <w:num w:numId="26">
    <w:abstractNumId w:val="1"/>
  </w:num>
  <w:num w:numId="27">
    <w:abstractNumId w:val="24"/>
  </w:num>
  <w:num w:numId="28">
    <w:abstractNumId w:val="23"/>
  </w:num>
  <w:num w:numId="29">
    <w:abstractNumId w:val="3"/>
  </w:num>
  <w:num w:numId="30">
    <w:abstractNumId w:val="16"/>
  </w:num>
  <w:num w:numId="31">
    <w:abstractNumId w:val="26"/>
  </w:num>
  <w:num w:numId="32">
    <w:abstractNumId w:val="22"/>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2028"/>
    <w:rsid w:val="000F339B"/>
    <w:rsid w:val="000F7DE2"/>
    <w:rsid w:val="00100AA2"/>
    <w:rsid w:val="001034BB"/>
    <w:rsid w:val="00113798"/>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4F23"/>
    <w:rsid w:val="001F5A84"/>
    <w:rsid w:val="002072A5"/>
    <w:rsid w:val="00225132"/>
    <w:rsid w:val="00234FC9"/>
    <w:rsid w:val="002360C1"/>
    <w:rsid w:val="00242EEE"/>
    <w:rsid w:val="0024545F"/>
    <w:rsid w:val="00247AC9"/>
    <w:rsid w:val="002530D6"/>
    <w:rsid w:val="00256E92"/>
    <w:rsid w:val="002656CA"/>
    <w:rsid w:val="00266F3F"/>
    <w:rsid w:val="002679FE"/>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23C80"/>
    <w:rsid w:val="00330028"/>
    <w:rsid w:val="00345E23"/>
    <w:rsid w:val="00347BD1"/>
    <w:rsid w:val="00351231"/>
    <w:rsid w:val="003518BF"/>
    <w:rsid w:val="003529F9"/>
    <w:rsid w:val="00357106"/>
    <w:rsid w:val="00360ECB"/>
    <w:rsid w:val="003718D9"/>
    <w:rsid w:val="003778B1"/>
    <w:rsid w:val="00390ED8"/>
    <w:rsid w:val="00395C32"/>
    <w:rsid w:val="00395D98"/>
    <w:rsid w:val="003A3E6F"/>
    <w:rsid w:val="003A5FCE"/>
    <w:rsid w:val="003A67E8"/>
    <w:rsid w:val="003A79A4"/>
    <w:rsid w:val="003B020D"/>
    <w:rsid w:val="003B136F"/>
    <w:rsid w:val="003B3676"/>
    <w:rsid w:val="003C2067"/>
    <w:rsid w:val="003C2662"/>
    <w:rsid w:val="003C76FD"/>
    <w:rsid w:val="003D0C0E"/>
    <w:rsid w:val="003D0D58"/>
    <w:rsid w:val="003D1F2E"/>
    <w:rsid w:val="003D740A"/>
    <w:rsid w:val="003E777E"/>
    <w:rsid w:val="003F1747"/>
    <w:rsid w:val="003F3F6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64546"/>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2F93"/>
    <w:rsid w:val="004C490E"/>
    <w:rsid w:val="004C7835"/>
    <w:rsid w:val="004D0970"/>
    <w:rsid w:val="004E0369"/>
    <w:rsid w:val="004E2C7F"/>
    <w:rsid w:val="004E4046"/>
    <w:rsid w:val="004E4338"/>
    <w:rsid w:val="004E7933"/>
    <w:rsid w:val="005023DA"/>
    <w:rsid w:val="005035E7"/>
    <w:rsid w:val="00510EA2"/>
    <w:rsid w:val="00521F7A"/>
    <w:rsid w:val="00522E23"/>
    <w:rsid w:val="00523C03"/>
    <w:rsid w:val="00523E8A"/>
    <w:rsid w:val="00525D1C"/>
    <w:rsid w:val="00537C7F"/>
    <w:rsid w:val="00541A44"/>
    <w:rsid w:val="00551165"/>
    <w:rsid w:val="0055306A"/>
    <w:rsid w:val="00561CEA"/>
    <w:rsid w:val="00563416"/>
    <w:rsid w:val="0056751C"/>
    <w:rsid w:val="005704F6"/>
    <w:rsid w:val="00587456"/>
    <w:rsid w:val="005A6134"/>
    <w:rsid w:val="005B63D4"/>
    <w:rsid w:val="005C3BB8"/>
    <w:rsid w:val="005D489B"/>
    <w:rsid w:val="005D5E63"/>
    <w:rsid w:val="005D7A9C"/>
    <w:rsid w:val="005E1820"/>
    <w:rsid w:val="005E4B58"/>
    <w:rsid w:val="005E66FC"/>
    <w:rsid w:val="005E671C"/>
    <w:rsid w:val="005E6E98"/>
    <w:rsid w:val="005F2561"/>
    <w:rsid w:val="005F7AB4"/>
    <w:rsid w:val="0060451D"/>
    <w:rsid w:val="00611FF9"/>
    <w:rsid w:val="0061238C"/>
    <w:rsid w:val="006155CD"/>
    <w:rsid w:val="0061628D"/>
    <w:rsid w:val="006235FF"/>
    <w:rsid w:val="006258D6"/>
    <w:rsid w:val="006258E2"/>
    <w:rsid w:val="006410EB"/>
    <w:rsid w:val="006467D7"/>
    <w:rsid w:val="0065033B"/>
    <w:rsid w:val="00650889"/>
    <w:rsid w:val="00661740"/>
    <w:rsid w:val="00661E15"/>
    <w:rsid w:val="00663294"/>
    <w:rsid w:val="00664049"/>
    <w:rsid w:val="00675649"/>
    <w:rsid w:val="006767DE"/>
    <w:rsid w:val="00684518"/>
    <w:rsid w:val="0069297D"/>
    <w:rsid w:val="00693326"/>
    <w:rsid w:val="0069591B"/>
    <w:rsid w:val="006A2DA1"/>
    <w:rsid w:val="006C2080"/>
    <w:rsid w:val="006C2F09"/>
    <w:rsid w:val="006C44EF"/>
    <w:rsid w:val="006D2546"/>
    <w:rsid w:val="006D36F2"/>
    <w:rsid w:val="006F43C5"/>
    <w:rsid w:val="007024C3"/>
    <w:rsid w:val="007039EF"/>
    <w:rsid w:val="007071D8"/>
    <w:rsid w:val="0071218E"/>
    <w:rsid w:val="00712BB5"/>
    <w:rsid w:val="00723019"/>
    <w:rsid w:val="00725DA5"/>
    <w:rsid w:val="00727163"/>
    <w:rsid w:val="00731928"/>
    <w:rsid w:val="0075757C"/>
    <w:rsid w:val="00761ABC"/>
    <w:rsid w:val="00772FDB"/>
    <w:rsid w:val="007827FC"/>
    <w:rsid w:val="007843DE"/>
    <w:rsid w:val="00786B1C"/>
    <w:rsid w:val="007873DE"/>
    <w:rsid w:val="00787558"/>
    <w:rsid w:val="007927D8"/>
    <w:rsid w:val="0079416B"/>
    <w:rsid w:val="007973E9"/>
    <w:rsid w:val="007A062A"/>
    <w:rsid w:val="007A7F54"/>
    <w:rsid w:val="007B0204"/>
    <w:rsid w:val="007B2599"/>
    <w:rsid w:val="007B32E3"/>
    <w:rsid w:val="007B3FF0"/>
    <w:rsid w:val="007B77EA"/>
    <w:rsid w:val="007C1ED8"/>
    <w:rsid w:val="007D06EF"/>
    <w:rsid w:val="007D124C"/>
    <w:rsid w:val="007D34EB"/>
    <w:rsid w:val="007E1603"/>
    <w:rsid w:val="007E6B4D"/>
    <w:rsid w:val="007F3C0B"/>
    <w:rsid w:val="007F478F"/>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25B7"/>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0DDA"/>
    <w:rsid w:val="009B4BF5"/>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66960"/>
    <w:rsid w:val="00A729D7"/>
    <w:rsid w:val="00A76CA3"/>
    <w:rsid w:val="00A808D3"/>
    <w:rsid w:val="00A81F67"/>
    <w:rsid w:val="00A82F34"/>
    <w:rsid w:val="00A8376C"/>
    <w:rsid w:val="00A91CEC"/>
    <w:rsid w:val="00A9423D"/>
    <w:rsid w:val="00A94F09"/>
    <w:rsid w:val="00A976C5"/>
    <w:rsid w:val="00AA4980"/>
    <w:rsid w:val="00AA547C"/>
    <w:rsid w:val="00AA75A4"/>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220"/>
    <w:rsid w:val="00B32525"/>
    <w:rsid w:val="00B33581"/>
    <w:rsid w:val="00B428D7"/>
    <w:rsid w:val="00B42EF3"/>
    <w:rsid w:val="00B5020E"/>
    <w:rsid w:val="00B532BC"/>
    <w:rsid w:val="00B553FC"/>
    <w:rsid w:val="00B56579"/>
    <w:rsid w:val="00B566F2"/>
    <w:rsid w:val="00B61179"/>
    <w:rsid w:val="00B62A47"/>
    <w:rsid w:val="00B62A97"/>
    <w:rsid w:val="00B6555F"/>
    <w:rsid w:val="00B70605"/>
    <w:rsid w:val="00B75D01"/>
    <w:rsid w:val="00B841FD"/>
    <w:rsid w:val="00B90075"/>
    <w:rsid w:val="00BA7E08"/>
    <w:rsid w:val="00BB0669"/>
    <w:rsid w:val="00BB7E5B"/>
    <w:rsid w:val="00BC2D63"/>
    <w:rsid w:val="00BC332C"/>
    <w:rsid w:val="00BD02DA"/>
    <w:rsid w:val="00BE69C7"/>
    <w:rsid w:val="00BF250D"/>
    <w:rsid w:val="00BF275F"/>
    <w:rsid w:val="00BF63CB"/>
    <w:rsid w:val="00C0573E"/>
    <w:rsid w:val="00C0594F"/>
    <w:rsid w:val="00C07105"/>
    <w:rsid w:val="00C14228"/>
    <w:rsid w:val="00C16659"/>
    <w:rsid w:val="00C2491E"/>
    <w:rsid w:val="00C250BC"/>
    <w:rsid w:val="00C360F3"/>
    <w:rsid w:val="00C36478"/>
    <w:rsid w:val="00C462C0"/>
    <w:rsid w:val="00C5196E"/>
    <w:rsid w:val="00C53E03"/>
    <w:rsid w:val="00C60C5C"/>
    <w:rsid w:val="00C620D6"/>
    <w:rsid w:val="00C67E9C"/>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5E23"/>
    <w:rsid w:val="00D57EB5"/>
    <w:rsid w:val="00D64B02"/>
    <w:rsid w:val="00D64BE4"/>
    <w:rsid w:val="00D673A6"/>
    <w:rsid w:val="00D71266"/>
    <w:rsid w:val="00D729A7"/>
    <w:rsid w:val="00D73B36"/>
    <w:rsid w:val="00D821C5"/>
    <w:rsid w:val="00D85C85"/>
    <w:rsid w:val="00D87587"/>
    <w:rsid w:val="00D97D4F"/>
    <w:rsid w:val="00DA7305"/>
    <w:rsid w:val="00DA7F20"/>
    <w:rsid w:val="00DB649A"/>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02DD"/>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61A8"/>
    <w:rsid w:val="00EB13CB"/>
    <w:rsid w:val="00ED2DD1"/>
    <w:rsid w:val="00ED7D2D"/>
    <w:rsid w:val="00EE41E1"/>
    <w:rsid w:val="00EF7098"/>
    <w:rsid w:val="00F02136"/>
    <w:rsid w:val="00F16303"/>
    <w:rsid w:val="00F23AB2"/>
    <w:rsid w:val="00F23F68"/>
    <w:rsid w:val="00F25CD2"/>
    <w:rsid w:val="00F31C23"/>
    <w:rsid w:val="00F32F18"/>
    <w:rsid w:val="00F43BBA"/>
    <w:rsid w:val="00F4604F"/>
    <w:rsid w:val="00F46C29"/>
    <w:rsid w:val="00F5057C"/>
    <w:rsid w:val="00F55D5F"/>
    <w:rsid w:val="00F5731F"/>
    <w:rsid w:val="00F603A9"/>
    <w:rsid w:val="00F62B9A"/>
    <w:rsid w:val="00F6452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8F"/>
    <w:rPr>
      <w:rFonts w:ascii="Arial" w:hAnsi="Arial"/>
      <w:sz w:val="24"/>
      <w:szCs w:val="24"/>
    </w:rPr>
  </w:style>
  <w:style w:type="paragraph" w:styleId="Heading1">
    <w:name w:val="heading 1"/>
    <w:basedOn w:val="Normal"/>
    <w:next w:val="Normal"/>
    <w:link w:val="Heading1Char"/>
    <w:uiPriority w:val="9"/>
    <w:qFormat/>
    <w:rsid w:val="007F478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F478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F478F"/>
    <w:pPr>
      <w:outlineLvl w:val="2"/>
    </w:pPr>
    <w:rPr>
      <w:rFonts w:cs="Arial"/>
      <w:i w:val="0"/>
    </w:rPr>
  </w:style>
  <w:style w:type="paragraph" w:styleId="Heading4">
    <w:name w:val="heading 4"/>
    <w:basedOn w:val="Normal"/>
    <w:next w:val="Normal"/>
    <w:link w:val="Heading4Char"/>
    <w:uiPriority w:val="9"/>
    <w:unhideWhenUsed/>
    <w:qFormat/>
    <w:rsid w:val="007F478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F478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F478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F478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F478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F478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F47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78F"/>
  </w:style>
  <w:style w:type="character" w:customStyle="1" w:styleId="Heading1Char">
    <w:name w:val="Heading 1 Char"/>
    <w:basedOn w:val="DefaultParagraphFont"/>
    <w:link w:val="Heading1"/>
    <w:uiPriority w:val="9"/>
    <w:rsid w:val="007F478F"/>
    <w:rPr>
      <w:rFonts w:ascii="Arial" w:eastAsiaTheme="majorEastAsia" w:hAnsi="Arial" w:cstheme="majorBidi"/>
      <w:sz w:val="40"/>
    </w:rPr>
  </w:style>
  <w:style w:type="character" w:customStyle="1" w:styleId="Heading2Char">
    <w:name w:val="Heading 2 Char"/>
    <w:basedOn w:val="DefaultParagraphFont"/>
    <w:link w:val="Heading2"/>
    <w:uiPriority w:val="9"/>
    <w:rsid w:val="007F478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F478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F478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F478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F478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F478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F478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F478F"/>
    <w:rPr>
      <w:rFonts w:ascii="Arial" w:eastAsiaTheme="majorEastAsia" w:hAnsi="Arial" w:cstheme="majorBidi"/>
      <w:i/>
      <w:iCs/>
      <w:sz w:val="24"/>
    </w:rPr>
  </w:style>
  <w:style w:type="paragraph" w:styleId="Title">
    <w:name w:val="Title"/>
    <w:basedOn w:val="Normal"/>
    <w:next w:val="Normal"/>
    <w:link w:val="TitleChar"/>
    <w:uiPriority w:val="9"/>
    <w:qFormat/>
    <w:rsid w:val="007F478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F478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F478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F478F"/>
    <w:rPr>
      <w:rFonts w:ascii="Arial" w:eastAsiaTheme="majorEastAsia" w:hAnsi="Arial" w:cstheme="majorBidi"/>
      <w:i/>
      <w:iCs/>
      <w:spacing w:val="15"/>
      <w:sz w:val="24"/>
      <w:szCs w:val="24"/>
    </w:rPr>
  </w:style>
  <w:style w:type="character" w:styleId="Strong">
    <w:name w:val="Strong"/>
    <w:basedOn w:val="DefaultParagraphFont"/>
    <w:uiPriority w:val="22"/>
    <w:qFormat/>
    <w:rsid w:val="007F478F"/>
    <w:rPr>
      <w:rFonts w:ascii="Arial" w:hAnsi="Arial"/>
      <w:b/>
      <w:bCs/>
    </w:rPr>
  </w:style>
  <w:style w:type="character" w:styleId="Emphasis">
    <w:name w:val="Emphasis"/>
    <w:basedOn w:val="DefaultParagraphFont"/>
    <w:uiPriority w:val="20"/>
    <w:qFormat/>
    <w:rsid w:val="007F478F"/>
    <w:rPr>
      <w:rFonts w:ascii="Arial" w:hAnsi="Arial"/>
      <w:i/>
      <w:iCs/>
    </w:rPr>
  </w:style>
  <w:style w:type="paragraph" w:styleId="NoSpacing">
    <w:name w:val="No Spacing"/>
    <w:uiPriority w:val="1"/>
    <w:qFormat/>
    <w:rsid w:val="007F478F"/>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F478F"/>
    <w:pPr>
      <w:ind w:left="720"/>
      <w:contextualSpacing/>
    </w:pPr>
  </w:style>
  <w:style w:type="paragraph" w:styleId="Quote">
    <w:name w:val="Quote"/>
    <w:basedOn w:val="Normal"/>
    <w:next w:val="Normal"/>
    <w:link w:val="QuoteChar"/>
    <w:uiPriority w:val="29"/>
    <w:qFormat/>
    <w:rsid w:val="007F478F"/>
    <w:rPr>
      <w:i/>
      <w:iCs/>
      <w:color w:val="000000" w:themeColor="text1"/>
    </w:rPr>
  </w:style>
  <w:style w:type="character" w:customStyle="1" w:styleId="QuoteChar">
    <w:name w:val="Quote Char"/>
    <w:basedOn w:val="DefaultParagraphFont"/>
    <w:link w:val="Quote"/>
    <w:uiPriority w:val="29"/>
    <w:rsid w:val="007F478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F478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F478F"/>
    <w:rPr>
      <w:rFonts w:ascii="Arial" w:hAnsi="Arial"/>
      <w:b/>
      <w:bCs/>
      <w:i/>
      <w:iCs/>
      <w:sz w:val="24"/>
      <w:szCs w:val="24"/>
    </w:rPr>
  </w:style>
  <w:style w:type="character" w:styleId="SubtleEmphasis">
    <w:name w:val="Subtle Emphasis"/>
    <w:basedOn w:val="DefaultParagraphFont"/>
    <w:uiPriority w:val="19"/>
    <w:qFormat/>
    <w:rsid w:val="007F478F"/>
    <w:rPr>
      <w:rFonts w:ascii="Arial" w:hAnsi="Arial"/>
      <w:i/>
      <w:iCs/>
      <w:color w:val="808080" w:themeColor="text1" w:themeTint="7F"/>
    </w:rPr>
  </w:style>
  <w:style w:type="character" w:styleId="IntenseEmphasis">
    <w:name w:val="Intense Emphasis"/>
    <w:basedOn w:val="DefaultParagraphFont"/>
    <w:uiPriority w:val="21"/>
    <w:qFormat/>
    <w:rsid w:val="007F478F"/>
    <w:rPr>
      <w:rFonts w:ascii="Arial" w:hAnsi="Arial"/>
      <w:b/>
      <w:bCs/>
    </w:rPr>
  </w:style>
  <w:style w:type="character" w:styleId="SubtleReference">
    <w:name w:val="Subtle Reference"/>
    <w:basedOn w:val="DefaultParagraphFont"/>
    <w:uiPriority w:val="31"/>
    <w:qFormat/>
    <w:rsid w:val="007F478F"/>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7F478F"/>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uiPriority w:val="1"/>
    <w:unhideWhenUsed/>
    <w:qFormat/>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7F478F"/>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7F478F"/>
    <w:rPr>
      <w:b/>
      <w:bCs/>
      <w:smallCaps/>
      <w:color w:val="C0504D" w:themeColor="accent2"/>
      <w:spacing w:val="5"/>
      <w:u w:val="single"/>
    </w:rPr>
  </w:style>
  <w:style w:type="character" w:styleId="BookTitle">
    <w:name w:val="Book Title"/>
    <w:basedOn w:val="DefaultParagraphFont"/>
    <w:uiPriority w:val="33"/>
    <w:qFormat/>
    <w:rsid w:val="007F478F"/>
    <w:rPr>
      <w:b/>
      <w:bCs/>
      <w:smallCaps/>
      <w:spacing w:val="5"/>
    </w:rPr>
  </w:style>
  <w:style w:type="paragraph" w:customStyle="1" w:styleId="AppleFill">
    <w:name w:val="Apple Fill"/>
    <w:basedOn w:val="Normal"/>
    <w:link w:val="AppleFillChar"/>
    <w:uiPriority w:val="10"/>
    <w:qFormat/>
    <w:rsid w:val="007F478F"/>
    <w:rPr>
      <w:b/>
      <w:color w:val="FFFFFF" w:themeColor="background1"/>
      <w:shd w:val="clear" w:color="auto" w:fill="9BBB59" w:themeFill="accent3"/>
    </w:rPr>
  </w:style>
  <w:style w:type="paragraph" w:customStyle="1" w:styleId="AquaFill">
    <w:name w:val="Aqua Fill"/>
    <w:basedOn w:val="Normal"/>
    <w:link w:val="AquaFillChar"/>
    <w:uiPriority w:val="10"/>
    <w:qFormat/>
    <w:rsid w:val="007F478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F478F"/>
    <w:rPr>
      <w:rFonts w:ascii="Arial" w:hAnsi="Arial"/>
      <w:b/>
      <w:color w:val="FFFFFF" w:themeColor="background1"/>
      <w:sz w:val="24"/>
      <w:szCs w:val="24"/>
    </w:rPr>
  </w:style>
  <w:style w:type="paragraph" w:customStyle="1" w:styleId="WineFill">
    <w:name w:val="Wine Fill"/>
    <w:basedOn w:val="Normal"/>
    <w:link w:val="WineFillChar"/>
    <w:uiPriority w:val="9"/>
    <w:qFormat/>
    <w:rsid w:val="007F478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F478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F478F"/>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6258E2"/>
    <w:rPr>
      <w:color w:val="605E5C"/>
      <w:shd w:val="clear" w:color="auto" w:fill="E1DFDD"/>
    </w:rPr>
  </w:style>
  <w:style w:type="paragraph" w:customStyle="1" w:styleId="TableParagraph">
    <w:name w:val="Table Paragraph"/>
    <w:basedOn w:val="Normal"/>
    <w:uiPriority w:val="1"/>
    <w:qFormat/>
    <w:rsid w:val="003F3F67"/>
    <w:pPr>
      <w:widowControl w:val="0"/>
      <w:autoSpaceDE w:val="0"/>
      <w:autoSpaceDN w:val="0"/>
      <w:spacing w:after="0" w:line="240" w:lineRule="auto"/>
    </w:pPr>
    <w:rPr>
      <w:rFonts w:eastAsia="Arial" w:cs="Arial"/>
      <w:sz w:val="22"/>
      <w:szCs w:val="22"/>
    </w:rPr>
  </w:style>
  <w:style w:type="numbering" w:customStyle="1" w:styleId="NoList1">
    <w:name w:val="No List1"/>
    <w:next w:val="NoList"/>
    <w:uiPriority w:val="99"/>
    <w:semiHidden/>
    <w:unhideWhenUsed/>
    <w:rsid w:val="0070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0752">
      <w:bodyDiv w:val="1"/>
      <w:marLeft w:val="0"/>
      <w:marRight w:val="0"/>
      <w:marTop w:val="0"/>
      <w:marBottom w:val="0"/>
      <w:divBdr>
        <w:top w:val="none" w:sz="0" w:space="0" w:color="auto"/>
        <w:left w:val="none" w:sz="0" w:space="0" w:color="auto"/>
        <w:bottom w:val="none" w:sz="0" w:space="0" w:color="auto"/>
        <w:right w:val="none" w:sz="0" w:space="0" w:color="auto"/>
      </w:divBdr>
    </w:div>
    <w:div w:id="536311474">
      <w:bodyDiv w:val="1"/>
      <w:marLeft w:val="0"/>
      <w:marRight w:val="0"/>
      <w:marTop w:val="0"/>
      <w:marBottom w:val="0"/>
      <w:divBdr>
        <w:top w:val="none" w:sz="0" w:space="0" w:color="auto"/>
        <w:left w:val="none" w:sz="0" w:space="0" w:color="auto"/>
        <w:bottom w:val="none" w:sz="0" w:space="0" w:color="auto"/>
        <w:right w:val="none" w:sz="0" w:space="0" w:color="auto"/>
      </w:divBdr>
    </w:div>
    <w:div w:id="1166361918">
      <w:bodyDiv w:val="1"/>
      <w:marLeft w:val="0"/>
      <w:marRight w:val="0"/>
      <w:marTop w:val="0"/>
      <w:marBottom w:val="0"/>
      <w:divBdr>
        <w:top w:val="none" w:sz="0" w:space="0" w:color="auto"/>
        <w:left w:val="none" w:sz="0" w:space="0" w:color="auto"/>
        <w:bottom w:val="none" w:sz="0" w:space="0" w:color="auto"/>
        <w:right w:val="none" w:sz="0" w:space="0" w:color="auto"/>
      </w:divBdr>
    </w:div>
    <w:div w:id="1248542561">
      <w:bodyDiv w:val="1"/>
      <w:marLeft w:val="0"/>
      <w:marRight w:val="0"/>
      <w:marTop w:val="0"/>
      <w:marBottom w:val="0"/>
      <w:divBdr>
        <w:top w:val="none" w:sz="0" w:space="0" w:color="auto"/>
        <w:left w:val="none" w:sz="0" w:space="0" w:color="auto"/>
        <w:bottom w:val="none" w:sz="0" w:space="0" w:color="auto"/>
        <w:right w:val="none" w:sz="0" w:space="0" w:color="auto"/>
      </w:divBdr>
    </w:div>
    <w:div w:id="1320115460">
      <w:bodyDiv w:val="1"/>
      <w:marLeft w:val="0"/>
      <w:marRight w:val="0"/>
      <w:marTop w:val="0"/>
      <w:marBottom w:val="0"/>
      <w:divBdr>
        <w:top w:val="none" w:sz="0" w:space="0" w:color="auto"/>
        <w:left w:val="none" w:sz="0" w:space="0" w:color="auto"/>
        <w:bottom w:val="none" w:sz="0" w:space="0" w:color="auto"/>
        <w:right w:val="none" w:sz="0" w:space="0" w:color="auto"/>
      </w:divBdr>
    </w:div>
    <w:div w:id="1390616614">
      <w:bodyDiv w:val="1"/>
      <w:marLeft w:val="0"/>
      <w:marRight w:val="0"/>
      <w:marTop w:val="0"/>
      <w:marBottom w:val="0"/>
      <w:divBdr>
        <w:top w:val="none" w:sz="0" w:space="0" w:color="auto"/>
        <w:left w:val="none" w:sz="0" w:space="0" w:color="auto"/>
        <w:bottom w:val="none" w:sz="0" w:space="0" w:color="auto"/>
        <w:right w:val="none" w:sz="0" w:space="0" w:color="auto"/>
      </w:divBdr>
    </w:div>
    <w:div w:id="1595867784">
      <w:bodyDiv w:val="1"/>
      <w:marLeft w:val="0"/>
      <w:marRight w:val="0"/>
      <w:marTop w:val="0"/>
      <w:marBottom w:val="0"/>
      <w:divBdr>
        <w:top w:val="none" w:sz="0" w:space="0" w:color="auto"/>
        <w:left w:val="none" w:sz="0" w:space="0" w:color="auto"/>
        <w:bottom w:val="none" w:sz="0" w:space="0" w:color="auto"/>
        <w:right w:val="none" w:sz="0" w:space="0" w:color="auto"/>
      </w:divBdr>
    </w:div>
    <w:div w:id="1725790087">
      <w:bodyDiv w:val="1"/>
      <w:marLeft w:val="0"/>
      <w:marRight w:val="0"/>
      <w:marTop w:val="0"/>
      <w:marBottom w:val="0"/>
      <w:divBdr>
        <w:top w:val="none" w:sz="0" w:space="0" w:color="auto"/>
        <w:left w:val="none" w:sz="0" w:space="0" w:color="auto"/>
        <w:bottom w:val="none" w:sz="0" w:space="0" w:color="auto"/>
        <w:right w:val="none" w:sz="0" w:space="0" w:color="auto"/>
      </w:divBdr>
    </w:div>
    <w:div w:id="1788430322">
      <w:bodyDiv w:val="1"/>
      <w:marLeft w:val="0"/>
      <w:marRight w:val="0"/>
      <w:marTop w:val="0"/>
      <w:marBottom w:val="0"/>
      <w:divBdr>
        <w:top w:val="none" w:sz="0" w:space="0" w:color="auto"/>
        <w:left w:val="none" w:sz="0" w:space="0" w:color="auto"/>
        <w:bottom w:val="none" w:sz="0" w:space="0" w:color="auto"/>
        <w:right w:val="none" w:sz="0" w:space="0" w:color="auto"/>
      </w:divBdr>
    </w:div>
    <w:div w:id="19232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cu.gov.on.ca/eng/eopg/programs/es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rey.ca/share/public?nodeRef=workspace://SpacesStore/4c015394-1c71-4cae-83cc-7bcf3080f63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246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GC_117406901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[2021-10-14 Committee of the Whole [9848]]</meetingId>
    <capitalProjectPriority xmlns="e6cd7bd4-3f3e-4495-b8c9-139289cd76e6" xsi:nil="true"/>
    <policyApprovalDate xmlns="e6cd7bd4-3f3e-4495-b8c9-139289cd76e6" xsi:nil="true"/>
    <NodeRef xmlns="e6cd7bd4-3f3e-4495-b8c9-139289cd76e6">49b6661f-27f7-4be4-bba4-b306ad2c9c3a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2.xml><?xml version="1.0" encoding="utf-8"?>
<ds:datastoreItem xmlns:ds="http://schemas.openxmlformats.org/officeDocument/2006/customXml" ds:itemID="{CF44D394-F204-4EB8-80FB-CAA2A2A24C94}"/>
</file>

<file path=customXml/itemProps3.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4.xml><?xml version="1.0" encoding="utf-8"?>
<ds:datastoreItem xmlns:ds="http://schemas.openxmlformats.org/officeDocument/2006/customXml" ds:itemID="{C034D79F-4746-4088-9501-C74242836C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0bac25-66ac-4bb1-b391-4c16a8864d9a"/>
    <ds:schemaRef ds:uri="9e0655d3-2de9-420f-a513-3f5c522f8a4c"/>
    <ds:schemaRef ds:uri="http://www.w3.org/XML/1998/namespace"/>
  </ds:schemaRefs>
</ds:datastoreItem>
</file>

<file path=customXml/itemProps5.xml><?xml version="1.0" encoding="utf-8"?>
<ds:datastoreItem xmlns:ds="http://schemas.openxmlformats.org/officeDocument/2006/customXml" ds:itemID="{7B6038C8-E8F2-4658-87AF-F29C83236A73}"/>
</file>

<file path=docProps/app.xml><?xml version="1.0" encoding="utf-8"?>
<Properties xmlns="http://schemas.openxmlformats.org/officeDocument/2006/extended-properties" xmlns:vt="http://schemas.openxmlformats.org/officeDocument/2006/docPropsVTypes">
  <Template>Normal</Template>
  <TotalTime>1322</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Service System Manager Consortium Agreement –Employment Services Ontario Transformation</vt:lpstr>
    </vt:vector>
  </TitlesOfParts>
  <Company>County of Grey</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System Manager Consortium Agreement –Employment Services Ontario Transformation</dc:title>
  <dc:creator>Elder, Nancy</dc:creator>
  <cp:lastModifiedBy>Barb Fedy</cp:lastModifiedBy>
  <cp:revision>36</cp:revision>
  <cp:lastPrinted>2014-04-01T13:48:00Z</cp:lastPrinted>
  <dcterms:created xsi:type="dcterms:W3CDTF">2021-09-27T14:02:00Z</dcterms:created>
  <dcterms:modified xsi:type="dcterms:W3CDTF">2021-10-07T15:53:00Z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