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5651" w14:textId="77777777" w:rsidR="00EF2B1E" w:rsidRPr="00B87983" w:rsidRDefault="00EF2B1E" w:rsidP="00EF2B1E">
      <w:pPr>
        <w:pStyle w:val="Title"/>
        <w:jc w:val="both"/>
        <w:rPr>
          <w:rStyle w:val="IntenseEmphasis"/>
          <w:b w:val="0"/>
        </w:rPr>
      </w:pPr>
      <w:r w:rsidRPr="00B87983">
        <w:rPr>
          <w:noProof/>
          <w:lang w:val="en-CA" w:eastAsia="en-CA"/>
        </w:rPr>
        <w:drawing>
          <wp:inline distT="0" distB="0" distL="0" distR="0" wp14:anchorId="2EB36F79" wp14:editId="34C838C5">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Pr="00B87983">
        <w:rPr>
          <w:rStyle w:val="IntenseEmphasis"/>
          <w:b w:val="0"/>
        </w:rPr>
        <w:tab/>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EF2B1E" w:rsidRPr="00B87983" w14:paraId="2A037121" w14:textId="77777777" w:rsidTr="009F7C7E">
        <w:trPr>
          <w:tblHeader/>
        </w:trPr>
        <w:tc>
          <w:tcPr>
            <w:tcW w:w="2898" w:type="dxa"/>
          </w:tcPr>
          <w:p w14:paraId="1B9369DF" w14:textId="77777777" w:rsidR="00EF2B1E" w:rsidRPr="00B87983" w:rsidRDefault="00EF2B1E" w:rsidP="009F7C7E">
            <w:pPr>
              <w:spacing w:before="60" w:after="60"/>
              <w:rPr>
                <w:rStyle w:val="IntenseEmphasis"/>
                <w:rFonts w:cs="Arial"/>
              </w:rPr>
            </w:pPr>
            <w:r w:rsidRPr="00B87983">
              <w:rPr>
                <w:rStyle w:val="IntenseEmphasis"/>
                <w:rFonts w:cs="Arial"/>
              </w:rPr>
              <w:t>To:</w:t>
            </w:r>
          </w:p>
        </w:tc>
        <w:tc>
          <w:tcPr>
            <w:tcW w:w="6678" w:type="dxa"/>
          </w:tcPr>
          <w:p w14:paraId="01516103" w14:textId="3DC70254" w:rsidR="00EF2B1E" w:rsidRPr="00B87983" w:rsidRDefault="00EF2B1E" w:rsidP="00866804">
            <w:pPr>
              <w:spacing w:before="60" w:after="60"/>
              <w:rPr>
                <w:rStyle w:val="IntenseEmphasis"/>
                <w:rFonts w:cs="Arial"/>
                <w:b w:val="0"/>
              </w:rPr>
            </w:pPr>
            <w:r w:rsidRPr="00B87983">
              <w:rPr>
                <w:rStyle w:val="IntenseEmphasis"/>
                <w:rFonts w:cs="Arial"/>
                <w:b w:val="0"/>
              </w:rPr>
              <w:t xml:space="preserve">Warden </w:t>
            </w:r>
            <w:r w:rsidR="008D6B76" w:rsidRPr="00B87983">
              <w:rPr>
                <w:rStyle w:val="IntenseEmphasis"/>
                <w:rFonts w:cs="Arial"/>
                <w:b w:val="0"/>
              </w:rPr>
              <w:t>Hicks</w:t>
            </w:r>
            <w:r w:rsidRPr="00B87983">
              <w:rPr>
                <w:rStyle w:val="IntenseEmphasis"/>
                <w:rFonts w:cs="Arial"/>
                <w:b w:val="0"/>
              </w:rPr>
              <w:t xml:space="preserve"> and Members of Grey County Council</w:t>
            </w:r>
          </w:p>
        </w:tc>
      </w:tr>
      <w:tr w:rsidR="00EF2B1E" w:rsidRPr="00B87983" w14:paraId="01386653" w14:textId="77777777" w:rsidTr="00EF2B1E">
        <w:tc>
          <w:tcPr>
            <w:tcW w:w="2898" w:type="dxa"/>
          </w:tcPr>
          <w:p w14:paraId="6117CBF0" w14:textId="77777777" w:rsidR="00EF2B1E" w:rsidRPr="00B87983" w:rsidRDefault="00EF2B1E" w:rsidP="009F7C7E">
            <w:pPr>
              <w:spacing w:before="60" w:after="60"/>
              <w:rPr>
                <w:rStyle w:val="IntenseEmphasis"/>
                <w:rFonts w:cs="Arial"/>
              </w:rPr>
            </w:pPr>
            <w:r w:rsidRPr="00B87983">
              <w:rPr>
                <w:rStyle w:val="IntenseEmphasis"/>
                <w:rFonts w:cs="Arial"/>
              </w:rPr>
              <w:t>Committee Date:</w:t>
            </w:r>
          </w:p>
        </w:tc>
        <w:tc>
          <w:tcPr>
            <w:tcW w:w="6678" w:type="dxa"/>
          </w:tcPr>
          <w:p w14:paraId="68F7B06E" w14:textId="772C6467" w:rsidR="00EF2B1E" w:rsidRPr="00B87983" w:rsidRDefault="008D6B76" w:rsidP="009F7C7E">
            <w:pPr>
              <w:spacing w:before="60" w:after="60"/>
              <w:rPr>
                <w:rStyle w:val="IntenseEmphasis"/>
                <w:rFonts w:cs="Arial"/>
                <w:b w:val="0"/>
              </w:rPr>
            </w:pPr>
            <w:r w:rsidRPr="00B87983">
              <w:rPr>
                <w:rStyle w:val="IntenseEmphasis"/>
                <w:rFonts w:cs="Arial"/>
                <w:b w:val="0"/>
              </w:rPr>
              <w:t>June 27, 2019</w:t>
            </w:r>
          </w:p>
        </w:tc>
      </w:tr>
      <w:tr w:rsidR="00EF2B1E" w:rsidRPr="00B87983" w14:paraId="0E25C412" w14:textId="77777777" w:rsidTr="00EF2B1E">
        <w:tc>
          <w:tcPr>
            <w:tcW w:w="2898" w:type="dxa"/>
          </w:tcPr>
          <w:p w14:paraId="6BBA2304" w14:textId="77777777" w:rsidR="00EF2B1E" w:rsidRPr="00B87983" w:rsidRDefault="00EF2B1E" w:rsidP="009F7C7E">
            <w:pPr>
              <w:spacing w:before="60" w:after="60"/>
              <w:rPr>
                <w:rStyle w:val="IntenseEmphasis"/>
                <w:rFonts w:cs="Arial"/>
              </w:rPr>
            </w:pPr>
            <w:r w:rsidRPr="00B87983">
              <w:rPr>
                <w:rStyle w:val="IntenseEmphasis"/>
                <w:rFonts w:cs="Arial"/>
              </w:rPr>
              <w:t>Subject / Report No:</w:t>
            </w:r>
          </w:p>
        </w:tc>
        <w:tc>
          <w:tcPr>
            <w:tcW w:w="6678" w:type="dxa"/>
          </w:tcPr>
          <w:p w14:paraId="5EDE3861" w14:textId="48B0E134" w:rsidR="00EF2B1E" w:rsidRPr="00B87983" w:rsidRDefault="00866804" w:rsidP="00866804">
            <w:pPr>
              <w:spacing w:before="60" w:after="60"/>
              <w:rPr>
                <w:rStyle w:val="IntenseEmphasis"/>
                <w:rFonts w:cs="Arial"/>
                <w:b w:val="0"/>
              </w:rPr>
            </w:pPr>
            <w:r w:rsidRPr="00F45020">
              <w:rPr>
                <w:rStyle w:val="IntenseEmphasis"/>
                <w:rFonts w:cs="Arial"/>
                <w:b w:val="0"/>
              </w:rPr>
              <w:t>TR-CW</w:t>
            </w:r>
            <w:r w:rsidR="008D6B76" w:rsidRPr="00F45020">
              <w:rPr>
                <w:rStyle w:val="IntenseEmphasis"/>
                <w:rFonts w:cs="Arial"/>
                <w:b w:val="0"/>
              </w:rPr>
              <w:t>-</w:t>
            </w:r>
            <w:r w:rsidR="00B06476" w:rsidRPr="00F45020">
              <w:rPr>
                <w:rStyle w:val="IntenseEmphasis"/>
                <w:rFonts w:cs="Arial"/>
                <w:b w:val="0"/>
              </w:rPr>
              <w:t>12-19</w:t>
            </w:r>
          </w:p>
        </w:tc>
      </w:tr>
      <w:tr w:rsidR="00EF2B1E" w:rsidRPr="00B87983" w14:paraId="44531B53" w14:textId="77777777" w:rsidTr="00EF2B1E">
        <w:tc>
          <w:tcPr>
            <w:tcW w:w="2898" w:type="dxa"/>
          </w:tcPr>
          <w:p w14:paraId="59DFB06B" w14:textId="77777777" w:rsidR="00EF2B1E" w:rsidRPr="00B87983" w:rsidRDefault="009F7C7E" w:rsidP="009F7C7E">
            <w:pPr>
              <w:spacing w:before="60" w:after="60"/>
              <w:rPr>
                <w:rStyle w:val="IntenseEmphasis"/>
                <w:rFonts w:cs="Arial"/>
              </w:rPr>
            </w:pPr>
            <w:r w:rsidRPr="00B87983">
              <w:rPr>
                <w:rStyle w:val="IntenseEmphasis"/>
                <w:rFonts w:cs="Arial"/>
              </w:rPr>
              <w:t>Title:</w:t>
            </w:r>
          </w:p>
        </w:tc>
        <w:tc>
          <w:tcPr>
            <w:tcW w:w="6678" w:type="dxa"/>
          </w:tcPr>
          <w:p w14:paraId="757FD674" w14:textId="5F9729A7" w:rsidR="00EF2B1E" w:rsidRPr="00B87983" w:rsidRDefault="00866804" w:rsidP="009F7C7E">
            <w:pPr>
              <w:spacing w:before="60" w:after="60"/>
              <w:rPr>
                <w:rStyle w:val="IntenseEmphasis"/>
                <w:rFonts w:cs="Arial"/>
                <w:b w:val="0"/>
              </w:rPr>
            </w:pPr>
            <w:r w:rsidRPr="00B87983">
              <w:rPr>
                <w:rStyle w:val="IntenseEmphasis"/>
                <w:rFonts w:cs="Arial"/>
                <w:b w:val="0"/>
              </w:rPr>
              <w:t>RFT-TS-</w:t>
            </w:r>
            <w:r w:rsidR="00B06476" w:rsidRPr="00B87983">
              <w:rPr>
                <w:rStyle w:val="IntenseEmphasis"/>
                <w:rFonts w:cs="Arial"/>
                <w:b w:val="0"/>
              </w:rPr>
              <w:t>26</w:t>
            </w:r>
            <w:r w:rsidRPr="00B87983">
              <w:rPr>
                <w:rStyle w:val="IntenseEmphasis"/>
                <w:rFonts w:cs="Arial"/>
                <w:b w:val="0"/>
              </w:rPr>
              <w:t>-1</w:t>
            </w:r>
            <w:r w:rsidR="008D6B76" w:rsidRPr="00B87983">
              <w:rPr>
                <w:rStyle w:val="IntenseEmphasis"/>
                <w:rFonts w:cs="Arial"/>
                <w:b w:val="0"/>
              </w:rPr>
              <w:t>9</w:t>
            </w:r>
            <w:r w:rsidRPr="00B87983">
              <w:rPr>
                <w:rStyle w:val="IntenseEmphasis"/>
                <w:rFonts w:cs="Arial"/>
                <w:b w:val="0"/>
              </w:rPr>
              <w:t xml:space="preserve"> Award of Supply, Deliver, Treat/Mix and Stockpile Winter Sand</w:t>
            </w:r>
          </w:p>
        </w:tc>
      </w:tr>
      <w:tr w:rsidR="009F7C7E" w:rsidRPr="00B87983" w14:paraId="08A09FBD" w14:textId="77777777" w:rsidTr="00EF2B1E">
        <w:tc>
          <w:tcPr>
            <w:tcW w:w="2898" w:type="dxa"/>
          </w:tcPr>
          <w:p w14:paraId="434C0A4E" w14:textId="77777777" w:rsidR="009F7C7E" w:rsidRPr="00B87983" w:rsidRDefault="009F7C7E" w:rsidP="009F7C7E">
            <w:pPr>
              <w:spacing w:before="60" w:after="60"/>
              <w:rPr>
                <w:rStyle w:val="IntenseEmphasis"/>
                <w:rFonts w:cs="Arial"/>
              </w:rPr>
            </w:pPr>
            <w:r w:rsidRPr="00B87983">
              <w:rPr>
                <w:rStyle w:val="IntenseEmphasis"/>
                <w:rFonts w:cs="Arial"/>
              </w:rPr>
              <w:t>Prepared by:</w:t>
            </w:r>
          </w:p>
        </w:tc>
        <w:tc>
          <w:tcPr>
            <w:tcW w:w="6678" w:type="dxa"/>
          </w:tcPr>
          <w:p w14:paraId="5734334B" w14:textId="77777777" w:rsidR="009F7C7E" w:rsidRPr="00B87983" w:rsidRDefault="00866804" w:rsidP="009F7C7E">
            <w:pPr>
              <w:spacing w:before="60" w:after="60"/>
              <w:rPr>
                <w:rStyle w:val="IntenseEmphasis"/>
                <w:rFonts w:cs="Arial"/>
                <w:b w:val="0"/>
              </w:rPr>
            </w:pPr>
            <w:r w:rsidRPr="00B87983">
              <w:rPr>
                <w:rStyle w:val="IntenseEmphasis"/>
                <w:rFonts w:cs="Arial"/>
                <w:b w:val="0"/>
              </w:rPr>
              <w:t>Graham Wilson, Maintenance Manager</w:t>
            </w:r>
            <w:r w:rsidRPr="00B87983">
              <w:rPr>
                <w:rStyle w:val="IntenseEmphasis"/>
                <w:rFonts w:cs="Arial"/>
                <w:b w:val="0"/>
              </w:rPr>
              <w:br/>
              <w:t>Sharon Melville, Buyer</w:t>
            </w:r>
          </w:p>
        </w:tc>
      </w:tr>
      <w:tr w:rsidR="009F7C7E" w:rsidRPr="00B87983" w14:paraId="1982667E" w14:textId="77777777" w:rsidTr="00EF2B1E">
        <w:tc>
          <w:tcPr>
            <w:tcW w:w="2898" w:type="dxa"/>
          </w:tcPr>
          <w:p w14:paraId="151CC0D2" w14:textId="77777777" w:rsidR="009F7C7E" w:rsidRPr="00B87983" w:rsidRDefault="009F7C7E" w:rsidP="009F7C7E">
            <w:pPr>
              <w:spacing w:before="60" w:after="60"/>
              <w:rPr>
                <w:rStyle w:val="IntenseEmphasis"/>
                <w:rFonts w:cs="Arial"/>
              </w:rPr>
            </w:pPr>
            <w:r w:rsidRPr="00B87983">
              <w:rPr>
                <w:rStyle w:val="IntenseEmphasis"/>
                <w:rFonts w:cs="Arial"/>
              </w:rPr>
              <w:t>Reviewed by:</w:t>
            </w:r>
          </w:p>
        </w:tc>
        <w:tc>
          <w:tcPr>
            <w:tcW w:w="6678" w:type="dxa"/>
          </w:tcPr>
          <w:p w14:paraId="0B1E03BF" w14:textId="77777777" w:rsidR="009F7C7E" w:rsidRPr="00B87983" w:rsidRDefault="00866804" w:rsidP="009F7C7E">
            <w:pPr>
              <w:spacing w:before="60" w:after="60"/>
              <w:rPr>
                <w:rStyle w:val="IntenseEmphasis"/>
                <w:rFonts w:cs="Arial"/>
                <w:b w:val="0"/>
              </w:rPr>
            </w:pPr>
            <w:r w:rsidRPr="00B87983">
              <w:rPr>
                <w:rStyle w:val="IntenseEmphasis"/>
                <w:rFonts w:cs="Arial"/>
                <w:b w:val="0"/>
              </w:rPr>
              <w:t>Pat Hoy, Director of Transportation Services</w:t>
            </w:r>
          </w:p>
        </w:tc>
      </w:tr>
      <w:tr w:rsidR="009F7C7E" w:rsidRPr="00B87983" w14:paraId="412ADBCB" w14:textId="77777777" w:rsidTr="00EF2B1E">
        <w:tc>
          <w:tcPr>
            <w:tcW w:w="2898" w:type="dxa"/>
          </w:tcPr>
          <w:p w14:paraId="3AA2BAC7" w14:textId="77777777" w:rsidR="009F7C7E" w:rsidRPr="00B87983" w:rsidRDefault="009F7C7E" w:rsidP="009F7C7E">
            <w:pPr>
              <w:spacing w:before="60" w:after="60"/>
              <w:rPr>
                <w:rStyle w:val="IntenseEmphasis"/>
                <w:rFonts w:cs="Arial"/>
              </w:rPr>
            </w:pPr>
            <w:r w:rsidRPr="00B87983">
              <w:rPr>
                <w:rStyle w:val="IntenseEmphasis"/>
                <w:rFonts w:cs="Arial"/>
              </w:rPr>
              <w:t>Lower Tier(s) Affected:</w:t>
            </w:r>
          </w:p>
        </w:tc>
        <w:tc>
          <w:tcPr>
            <w:tcW w:w="6678" w:type="dxa"/>
          </w:tcPr>
          <w:p w14:paraId="0FE43751" w14:textId="77777777" w:rsidR="009F7C7E" w:rsidRPr="00B87983" w:rsidRDefault="009F7C7E" w:rsidP="009F7C7E">
            <w:pPr>
              <w:spacing w:before="60" w:after="60"/>
              <w:rPr>
                <w:rStyle w:val="IntenseEmphasis"/>
                <w:rFonts w:cs="Arial"/>
                <w:b w:val="0"/>
              </w:rPr>
            </w:pPr>
          </w:p>
        </w:tc>
      </w:tr>
      <w:tr w:rsidR="009F7C7E" w:rsidRPr="00B87983" w14:paraId="18BE27E1" w14:textId="77777777" w:rsidTr="00EF2B1E">
        <w:tc>
          <w:tcPr>
            <w:tcW w:w="2898" w:type="dxa"/>
          </w:tcPr>
          <w:p w14:paraId="243ECB85" w14:textId="77777777" w:rsidR="009F7C7E" w:rsidRPr="00B87983" w:rsidRDefault="009F7C7E" w:rsidP="009F7C7E">
            <w:pPr>
              <w:spacing w:before="60" w:after="60"/>
              <w:rPr>
                <w:rStyle w:val="IntenseEmphasis"/>
                <w:rFonts w:cs="Arial"/>
              </w:rPr>
            </w:pPr>
            <w:r w:rsidRPr="00B87983">
              <w:rPr>
                <w:rStyle w:val="IntenseEmphasis"/>
                <w:rFonts w:cs="Arial"/>
              </w:rPr>
              <w:t>Status:</w:t>
            </w:r>
          </w:p>
        </w:tc>
        <w:tc>
          <w:tcPr>
            <w:tcW w:w="6678" w:type="dxa"/>
          </w:tcPr>
          <w:p w14:paraId="18127FD1" w14:textId="0F0544DA" w:rsidR="009F7C7E" w:rsidRPr="00083774" w:rsidRDefault="00083774" w:rsidP="009F7C7E">
            <w:pPr>
              <w:spacing w:before="60" w:after="60"/>
              <w:rPr>
                <w:rStyle w:val="IntenseEmphasis"/>
                <w:rFonts w:cs="Arial"/>
                <w:b w:val="0"/>
              </w:rPr>
            </w:pPr>
            <w:bookmarkStart w:id="0" w:name="_GoBack"/>
            <w:r>
              <w:rPr>
                <w:rStyle w:val="IntenseEmphasis"/>
                <w:rFonts w:cs="Arial"/>
                <w:b w:val="0"/>
              </w:rPr>
              <w:t xml:space="preserve">Recommendation adopted by Committee of the Whole as presented as per Resolution </w:t>
            </w:r>
            <w:r w:rsidRPr="00083774">
              <w:rPr>
                <w:rStyle w:val="IntenseEmphasis"/>
                <w:rFonts w:cs="Arial"/>
                <w:b w:val="0"/>
                <w:i/>
              </w:rPr>
              <w:t>CW142-19</w:t>
            </w:r>
            <w:r>
              <w:rPr>
                <w:rStyle w:val="IntenseEmphasis"/>
                <w:rFonts w:cs="Arial"/>
                <w:b w:val="0"/>
              </w:rPr>
              <w:t xml:space="preserve">; Endorsed by County Council on July 11, 2019 as per Resolution </w:t>
            </w:r>
            <w:r w:rsidRPr="00083774">
              <w:rPr>
                <w:rStyle w:val="IntenseEmphasis"/>
                <w:rFonts w:cs="Arial"/>
                <w:b w:val="0"/>
                <w:i/>
              </w:rPr>
              <w:t>CC52-19.</w:t>
            </w:r>
            <w:bookmarkEnd w:id="0"/>
          </w:p>
        </w:tc>
      </w:tr>
    </w:tbl>
    <w:p w14:paraId="520CA9FF" w14:textId="77777777" w:rsidR="00EF2B1E" w:rsidRPr="00B87983" w:rsidRDefault="00866804" w:rsidP="009F7C7E">
      <w:pPr>
        <w:pStyle w:val="Heading2"/>
        <w:rPr>
          <w:rStyle w:val="IntenseEmphasis"/>
          <w:rFonts w:cs="Arial"/>
          <w:b w:val="0"/>
        </w:rPr>
      </w:pPr>
      <w:r w:rsidRPr="00B87983">
        <w:rPr>
          <w:rStyle w:val="IntenseEmphasis"/>
          <w:rFonts w:cs="Arial"/>
          <w:b w:val="0"/>
        </w:rPr>
        <w:t>Recommendation</w:t>
      </w:r>
    </w:p>
    <w:p w14:paraId="4AE26B83" w14:textId="78530299" w:rsidR="00866804" w:rsidRPr="00B87983" w:rsidRDefault="00866804" w:rsidP="00866804">
      <w:pPr>
        <w:pStyle w:val="ListParagraph"/>
        <w:widowControl w:val="0"/>
        <w:numPr>
          <w:ilvl w:val="0"/>
          <w:numId w:val="3"/>
        </w:numPr>
        <w:spacing w:after="120"/>
        <w:contextualSpacing w:val="0"/>
        <w:rPr>
          <w:rFonts w:cs="Arial"/>
          <w:b/>
        </w:rPr>
      </w:pPr>
      <w:bookmarkStart w:id="1" w:name="_Hlk11406641"/>
      <w:r w:rsidRPr="00B87983">
        <w:rPr>
          <w:rFonts w:cs="Arial"/>
          <w:b/>
        </w:rPr>
        <w:t>That Report TR-CW-</w:t>
      </w:r>
      <w:r w:rsidR="00B06476" w:rsidRPr="00B87983">
        <w:rPr>
          <w:rFonts w:cs="Arial"/>
          <w:b/>
        </w:rPr>
        <w:t>12</w:t>
      </w:r>
      <w:r w:rsidRPr="00B87983">
        <w:rPr>
          <w:rFonts w:cs="Arial"/>
          <w:b/>
        </w:rPr>
        <w:t>-1</w:t>
      </w:r>
      <w:r w:rsidR="00B06476" w:rsidRPr="00B87983">
        <w:rPr>
          <w:rFonts w:cs="Arial"/>
          <w:b/>
        </w:rPr>
        <w:t>9</w:t>
      </w:r>
      <w:r w:rsidRPr="00B87983">
        <w:rPr>
          <w:rFonts w:cs="Arial"/>
          <w:b/>
        </w:rPr>
        <w:t xml:space="preserve"> regarding tender award recommendations for RFT-TS-</w:t>
      </w:r>
      <w:r w:rsidR="00B06476" w:rsidRPr="00B87983">
        <w:rPr>
          <w:rFonts w:cs="Arial"/>
          <w:b/>
        </w:rPr>
        <w:t>26</w:t>
      </w:r>
      <w:r w:rsidRPr="00B87983">
        <w:rPr>
          <w:rFonts w:cs="Arial"/>
          <w:b/>
        </w:rPr>
        <w:t>-1</w:t>
      </w:r>
      <w:r w:rsidR="00B06476" w:rsidRPr="00B87983">
        <w:rPr>
          <w:rFonts w:cs="Arial"/>
          <w:b/>
        </w:rPr>
        <w:t>9</w:t>
      </w:r>
      <w:r w:rsidRPr="00B87983">
        <w:rPr>
          <w:rFonts w:cs="Arial"/>
          <w:b/>
        </w:rPr>
        <w:t xml:space="preserve"> be received and that the tender be awarded as follows, excluding taxes:</w:t>
      </w:r>
    </w:p>
    <w:p w14:paraId="6B434C31" w14:textId="0380AD4F" w:rsidR="00866804" w:rsidRPr="00B87983" w:rsidRDefault="00866804" w:rsidP="00866804">
      <w:pPr>
        <w:pStyle w:val="ListParagraph"/>
        <w:widowControl w:val="0"/>
        <w:numPr>
          <w:ilvl w:val="0"/>
          <w:numId w:val="4"/>
        </w:numPr>
        <w:spacing w:after="120"/>
        <w:contextualSpacing w:val="0"/>
        <w:rPr>
          <w:rFonts w:cs="Arial"/>
          <w:b/>
        </w:rPr>
      </w:pPr>
      <w:r w:rsidRPr="00B87983">
        <w:rPr>
          <w:rFonts w:cs="Arial"/>
          <w:b/>
        </w:rPr>
        <w:t>Chatsworth, Flesherton, Dundalk, Ayton</w:t>
      </w:r>
      <w:r w:rsidR="00B87983" w:rsidRPr="00B87983">
        <w:rPr>
          <w:rFonts w:cs="Arial"/>
          <w:b/>
        </w:rPr>
        <w:t>, Clarksburg and Kimberley</w:t>
      </w:r>
      <w:r w:rsidRPr="00B87983">
        <w:rPr>
          <w:rFonts w:cs="Arial"/>
          <w:b/>
        </w:rPr>
        <w:t xml:space="preserve"> locations are awarded to Harold Sutherland Construction Ltd. in the amounts of $</w:t>
      </w:r>
      <w:r w:rsidR="00B87983" w:rsidRPr="00B87983">
        <w:rPr>
          <w:rFonts w:cs="Arial"/>
          <w:b/>
        </w:rPr>
        <w:t>45,124.50, $63,984.00, $54,131.00, $66,196.00, $64,980.00,</w:t>
      </w:r>
      <w:r w:rsidR="00611BA8">
        <w:rPr>
          <w:rFonts w:cs="Arial"/>
          <w:b/>
        </w:rPr>
        <w:t xml:space="preserve"> and</w:t>
      </w:r>
      <w:r w:rsidR="00B87983" w:rsidRPr="00B87983">
        <w:rPr>
          <w:rFonts w:cs="Arial"/>
          <w:b/>
        </w:rPr>
        <w:t xml:space="preserve"> $41,782.00</w:t>
      </w:r>
      <w:r w:rsidR="00F504AC">
        <w:rPr>
          <w:rFonts w:cs="Arial"/>
          <w:b/>
        </w:rPr>
        <w:t xml:space="preserve"> </w:t>
      </w:r>
      <w:r w:rsidRPr="00B87983">
        <w:rPr>
          <w:rFonts w:cs="Arial"/>
          <w:b/>
        </w:rPr>
        <w:t>respectively</w:t>
      </w:r>
      <w:r w:rsidR="00575750">
        <w:rPr>
          <w:rFonts w:cs="Arial"/>
          <w:b/>
        </w:rPr>
        <w:t>.</w:t>
      </w:r>
    </w:p>
    <w:bookmarkEnd w:id="1"/>
    <w:p w14:paraId="0D492C05" w14:textId="77777777" w:rsidR="00EF2B1E" w:rsidRPr="007A5933" w:rsidRDefault="00866804" w:rsidP="009F7C7E">
      <w:pPr>
        <w:pStyle w:val="Heading2"/>
        <w:rPr>
          <w:rStyle w:val="IntenseEmphasis"/>
          <w:rFonts w:cs="Arial"/>
          <w:b w:val="0"/>
        </w:rPr>
      </w:pPr>
      <w:r w:rsidRPr="00B87983">
        <w:rPr>
          <w:rStyle w:val="IntenseEmphasis"/>
          <w:rFonts w:cs="Arial"/>
          <w:b w:val="0"/>
        </w:rPr>
        <w:t xml:space="preserve">Executive </w:t>
      </w:r>
      <w:r w:rsidRPr="007A5933">
        <w:rPr>
          <w:rStyle w:val="IntenseEmphasis"/>
          <w:rFonts w:cs="Arial"/>
          <w:b w:val="0"/>
        </w:rPr>
        <w:t>Summary</w:t>
      </w:r>
    </w:p>
    <w:p w14:paraId="4B2A6939" w14:textId="5938AF0F" w:rsidR="00866804" w:rsidRPr="007A5933" w:rsidRDefault="00866804" w:rsidP="00866804">
      <w:pPr>
        <w:rPr>
          <w:rStyle w:val="IntenseEmphasis"/>
          <w:rFonts w:cs="Arial"/>
          <w:b w:val="0"/>
        </w:rPr>
      </w:pPr>
      <w:r w:rsidRPr="007A5933">
        <w:rPr>
          <w:rStyle w:val="IntenseEmphasis"/>
          <w:rFonts w:cs="Arial"/>
          <w:b w:val="0"/>
        </w:rPr>
        <w:t xml:space="preserve">The tender for the supply, deliver, treat/mix and stockpile winter sand was posted on the Grey County website from May </w:t>
      </w:r>
      <w:r w:rsidR="00B87983" w:rsidRPr="007A5933">
        <w:rPr>
          <w:rStyle w:val="IntenseEmphasis"/>
          <w:rFonts w:cs="Arial"/>
          <w:b w:val="0"/>
        </w:rPr>
        <w:t>22</w:t>
      </w:r>
      <w:r w:rsidRPr="007A5933">
        <w:rPr>
          <w:rStyle w:val="IntenseEmphasis"/>
          <w:rFonts w:cs="Arial"/>
          <w:b w:val="0"/>
        </w:rPr>
        <w:t>, 201</w:t>
      </w:r>
      <w:r w:rsidR="00B87983" w:rsidRPr="007A5933">
        <w:rPr>
          <w:rStyle w:val="IntenseEmphasis"/>
          <w:rFonts w:cs="Arial"/>
          <w:b w:val="0"/>
        </w:rPr>
        <w:t>9</w:t>
      </w:r>
      <w:r w:rsidRPr="007A5933">
        <w:rPr>
          <w:rStyle w:val="IntenseEmphasis"/>
          <w:rFonts w:cs="Arial"/>
          <w:b w:val="0"/>
        </w:rPr>
        <w:t xml:space="preserve"> until June </w:t>
      </w:r>
      <w:r w:rsidR="00B87983" w:rsidRPr="007A5933">
        <w:rPr>
          <w:rStyle w:val="IntenseEmphasis"/>
          <w:rFonts w:cs="Arial"/>
          <w:b w:val="0"/>
        </w:rPr>
        <w:t>11</w:t>
      </w:r>
      <w:r w:rsidRPr="007A5933">
        <w:rPr>
          <w:rStyle w:val="IntenseEmphasis"/>
          <w:rFonts w:cs="Arial"/>
          <w:b w:val="0"/>
        </w:rPr>
        <w:t>, 201</w:t>
      </w:r>
      <w:r w:rsidR="00B87983" w:rsidRPr="007A5933">
        <w:rPr>
          <w:rStyle w:val="IntenseEmphasis"/>
          <w:rFonts w:cs="Arial"/>
          <w:b w:val="0"/>
        </w:rPr>
        <w:t>9</w:t>
      </w:r>
      <w:r w:rsidRPr="007A5933">
        <w:rPr>
          <w:rStyle w:val="IntenseEmphasis"/>
          <w:rFonts w:cs="Arial"/>
          <w:b w:val="0"/>
        </w:rPr>
        <w:t>.</w:t>
      </w:r>
    </w:p>
    <w:p w14:paraId="35138C65" w14:textId="16F1E0DB" w:rsidR="00866804" w:rsidRPr="007A5933" w:rsidRDefault="00866804" w:rsidP="00866804">
      <w:pPr>
        <w:rPr>
          <w:rStyle w:val="IntenseEmphasis"/>
          <w:rFonts w:cs="Arial"/>
        </w:rPr>
      </w:pPr>
      <w:r w:rsidRPr="007A5933">
        <w:rPr>
          <w:rStyle w:val="IntenseEmphasis"/>
          <w:rFonts w:cs="Arial"/>
          <w:b w:val="0"/>
        </w:rPr>
        <w:t>It is recommended to award the</w:t>
      </w:r>
      <w:r w:rsidRPr="007A5933">
        <w:rPr>
          <w:rStyle w:val="IntenseEmphasis"/>
          <w:rFonts w:cs="Arial"/>
        </w:rPr>
        <w:t xml:space="preserve"> </w:t>
      </w:r>
      <w:r w:rsidR="00B87983" w:rsidRPr="007A5933">
        <w:rPr>
          <w:rFonts w:cs="Arial"/>
        </w:rPr>
        <w:t xml:space="preserve">Chatsworth, Flesherton, Dundalk, Ayton, Clarksburg and Kimberley locations to Harold Sutherland Construction Ltd. in the amounts of $45,124.50, $63,984.00, $54,131.00, $66,196.00, $64,980.00, </w:t>
      </w:r>
      <w:r w:rsidR="00611BA8">
        <w:rPr>
          <w:rFonts w:cs="Arial"/>
        </w:rPr>
        <w:t xml:space="preserve">and </w:t>
      </w:r>
      <w:r w:rsidR="00B87983" w:rsidRPr="007A5933">
        <w:rPr>
          <w:rFonts w:cs="Arial"/>
        </w:rPr>
        <w:t xml:space="preserve">$41,782.00 respectively, </w:t>
      </w:r>
      <w:r w:rsidR="006F1E07" w:rsidRPr="007A5933">
        <w:rPr>
          <w:rStyle w:val="IntenseEmphasis"/>
          <w:rFonts w:cs="Arial"/>
          <w:b w:val="0"/>
        </w:rPr>
        <w:t>(excluding taxes)</w:t>
      </w:r>
      <w:r w:rsidRPr="007A5933">
        <w:rPr>
          <w:rStyle w:val="IntenseEmphasis"/>
          <w:rFonts w:cs="Arial"/>
          <w:b w:val="0"/>
        </w:rPr>
        <w:t>.</w:t>
      </w:r>
    </w:p>
    <w:p w14:paraId="49FDCC9E" w14:textId="77777777" w:rsidR="00EF2B1E" w:rsidRPr="007A5933" w:rsidRDefault="00EF2B1E" w:rsidP="009F7C7E">
      <w:pPr>
        <w:pStyle w:val="Heading2"/>
        <w:rPr>
          <w:rStyle w:val="IntenseEmphasis"/>
          <w:rFonts w:cs="Arial"/>
          <w:b w:val="0"/>
        </w:rPr>
      </w:pPr>
      <w:r w:rsidRPr="007A5933">
        <w:rPr>
          <w:rStyle w:val="IntenseEmphasis"/>
          <w:rFonts w:cs="Arial"/>
          <w:b w:val="0"/>
        </w:rPr>
        <w:lastRenderedPageBreak/>
        <w:t>Background and Discussion</w:t>
      </w:r>
    </w:p>
    <w:p w14:paraId="289F9FA5" w14:textId="422AB2D8" w:rsidR="00866804" w:rsidRPr="007A5933" w:rsidRDefault="00866804" w:rsidP="00866804">
      <w:pPr>
        <w:rPr>
          <w:rStyle w:val="IntenseEmphasis"/>
          <w:rFonts w:cs="Arial"/>
          <w:b w:val="0"/>
        </w:rPr>
      </w:pPr>
      <w:r w:rsidRPr="007A5933">
        <w:rPr>
          <w:rStyle w:val="IntenseEmphasis"/>
          <w:rFonts w:cs="Arial"/>
          <w:b w:val="0"/>
        </w:rPr>
        <w:t xml:space="preserve">The process of obtaining mixed winter sand for winter maintenance operations starts with the delivery of a properly graded product from the supplier.  Each supplier’s sand is tested for proper gradation and approved by the County prior to acceptance.  As the sand is delivered to each site, it goes through a pug mill, which mixes both the screened sand and provided salt together to afford the exact proportions described within the tender.  The end result is a stockpile of sand that is blended with seven percent </w:t>
      </w:r>
      <w:r w:rsidR="00F33743">
        <w:rPr>
          <w:rStyle w:val="IntenseEmphasis"/>
          <w:rFonts w:cs="Arial"/>
          <w:b w:val="0"/>
        </w:rPr>
        <w:t>(7%) p</w:t>
      </w:r>
      <w:r w:rsidRPr="007A5933">
        <w:rPr>
          <w:rStyle w:val="IntenseEmphasis"/>
          <w:rFonts w:cs="Arial"/>
          <w:b w:val="0"/>
        </w:rPr>
        <w:t xml:space="preserve">re-treated salt spread evenly throughout the stockpile due to the pug mill process. </w:t>
      </w:r>
    </w:p>
    <w:p w14:paraId="40AE664B" w14:textId="4703FBFC" w:rsidR="006A0BE1" w:rsidRPr="007A5933" w:rsidRDefault="00866804" w:rsidP="00866804">
      <w:pPr>
        <w:rPr>
          <w:rStyle w:val="IntenseEmphasis"/>
          <w:rFonts w:cs="Arial"/>
          <w:b w:val="0"/>
        </w:rPr>
      </w:pPr>
      <w:r w:rsidRPr="007A5933">
        <w:rPr>
          <w:rStyle w:val="IntenseEmphasis"/>
          <w:rFonts w:cs="Arial"/>
          <w:b w:val="0"/>
        </w:rPr>
        <w:t xml:space="preserve">There were </w:t>
      </w:r>
      <w:r w:rsidR="007A5933" w:rsidRPr="007A5933">
        <w:rPr>
          <w:rStyle w:val="IntenseEmphasis"/>
          <w:rFonts w:cs="Arial"/>
          <w:b w:val="0"/>
        </w:rPr>
        <w:t>three</w:t>
      </w:r>
      <w:r w:rsidRPr="007A5933">
        <w:rPr>
          <w:rStyle w:val="IntenseEmphasis"/>
          <w:rFonts w:cs="Arial"/>
          <w:b w:val="0"/>
        </w:rPr>
        <w:t xml:space="preserve"> bids with results listed below.  Each winter sand bid included the supplying, hauling, mixing, treating and stockpiling of winter sand.  The bid prices do not include the cost </w:t>
      </w:r>
      <w:r w:rsidR="000D1A14" w:rsidRPr="007A5933">
        <w:rPr>
          <w:rStyle w:val="IntenseEmphasis"/>
          <w:rFonts w:cs="Arial"/>
          <w:b w:val="0"/>
        </w:rPr>
        <w:t>of treated salt which is supplied by Cargill, Grey County’s salt supplier</w:t>
      </w:r>
      <w:r w:rsidRPr="007A5933">
        <w:rPr>
          <w:rStyle w:val="IntenseEmphasis"/>
          <w:rFonts w:cs="Arial"/>
          <w:b w:val="0"/>
        </w:rPr>
        <w:t>.</w:t>
      </w:r>
    </w:p>
    <w:p w14:paraId="59B3F64D" w14:textId="69B6D341" w:rsidR="006A0BE1" w:rsidRPr="007A5933" w:rsidRDefault="00273C0E" w:rsidP="00866804">
      <w:pPr>
        <w:rPr>
          <w:rStyle w:val="IntenseEmphasis"/>
          <w:rFonts w:cs="Arial"/>
          <w:b w:val="0"/>
        </w:rPr>
      </w:pPr>
      <w:r w:rsidRPr="007A5933">
        <w:rPr>
          <w:rStyle w:val="IntenseEmphasis"/>
          <w:rFonts w:cs="Arial"/>
          <w:b w:val="0"/>
        </w:rPr>
        <w:t>M</w:t>
      </w:r>
      <w:r w:rsidR="006A0BE1" w:rsidRPr="007A5933">
        <w:rPr>
          <w:rStyle w:val="IntenseEmphasis"/>
          <w:rFonts w:cs="Arial"/>
          <w:b w:val="0"/>
        </w:rPr>
        <w:t>ember municipalities were invited to be part of this tender.</w:t>
      </w:r>
      <w:r w:rsidR="00BB4442" w:rsidRPr="007A5933">
        <w:rPr>
          <w:rStyle w:val="IntenseEmphasis"/>
          <w:rFonts w:cs="Arial"/>
          <w:b w:val="0"/>
        </w:rPr>
        <w:t xml:space="preserve"> </w:t>
      </w:r>
      <w:r w:rsidR="006A0BE1" w:rsidRPr="007A5933">
        <w:rPr>
          <w:rStyle w:val="IntenseEmphasis"/>
          <w:rFonts w:cs="Arial"/>
          <w:b w:val="0"/>
        </w:rPr>
        <w:t xml:space="preserve"> </w:t>
      </w:r>
      <w:r w:rsidRPr="007A5933">
        <w:rPr>
          <w:rStyle w:val="IntenseEmphasis"/>
          <w:rFonts w:cs="Arial"/>
          <w:b w:val="0"/>
        </w:rPr>
        <w:t xml:space="preserve">The Municipality of </w:t>
      </w:r>
      <w:r w:rsidR="006A0BE1" w:rsidRPr="007A5933">
        <w:rPr>
          <w:rStyle w:val="IntenseEmphasis"/>
          <w:rFonts w:cs="Arial"/>
          <w:b w:val="0"/>
        </w:rPr>
        <w:t>Meaford was inc</w:t>
      </w:r>
      <w:r w:rsidRPr="007A5933">
        <w:rPr>
          <w:rStyle w:val="IntenseEmphasis"/>
          <w:rFonts w:cs="Arial"/>
          <w:b w:val="0"/>
        </w:rPr>
        <w:t>luded.</w:t>
      </w:r>
    </w:p>
    <w:p w14:paraId="454900E8" w14:textId="7DA80663" w:rsidR="00273C0E" w:rsidRPr="003F76DE" w:rsidRDefault="00273C0E" w:rsidP="00866804">
      <w:pPr>
        <w:rPr>
          <w:rStyle w:val="IntenseEmphasis"/>
          <w:rFonts w:cs="Arial"/>
          <w:b w:val="0"/>
        </w:rPr>
      </w:pPr>
      <w:r w:rsidRPr="003F76DE">
        <w:rPr>
          <w:rStyle w:val="IntenseEmphasis"/>
          <w:rFonts w:cs="Arial"/>
          <w:b w:val="0"/>
        </w:rPr>
        <w:t>The</w:t>
      </w:r>
      <w:r w:rsidR="00B92A55" w:rsidRPr="003F76DE">
        <w:rPr>
          <w:rStyle w:val="IntenseEmphasis"/>
          <w:rFonts w:cs="Arial"/>
          <w:b w:val="0"/>
        </w:rPr>
        <w:t xml:space="preserve"> average of the tendered prices is</w:t>
      </w:r>
      <w:r w:rsidR="00ED33B8" w:rsidRPr="003F76DE">
        <w:rPr>
          <w:rStyle w:val="IntenseEmphasis"/>
          <w:rFonts w:cs="Arial"/>
          <w:b w:val="0"/>
        </w:rPr>
        <w:t xml:space="preserve"> $13.</w:t>
      </w:r>
      <w:r w:rsidR="007A5933" w:rsidRPr="003F76DE">
        <w:rPr>
          <w:rStyle w:val="IntenseEmphasis"/>
          <w:rFonts w:cs="Arial"/>
          <w:b w:val="0"/>
        </w:rPr>
        <w:t>92</w:t>
      </w:r>
      <w:r w:rsidR="000A4B51" w:rsidRPr="003F76DE">
        <w:rPr>
          <w:rStyle w:val="IntenseEmphasis"/>
          <w:rFonts w:cs="Arial"/>
          <w:b w:val="0"/>
        </w:rPr>
        <w:t xml:space="preserve"> per </w:t>
      </w:r>
      <w:r w:rsidR="00B92A55" w:rsidRPr="003F76DE">
        <w:rPr>
          <w:rStyle w:val="IntenseEmphasis"/>
          <w:rFonts w:cs="Arial"/>
          <w:b w:val="0"/>
        </w:rPr>
        <w:t xml:space="preserve">tonne. </w:t>
      </w:r>
      <w:r w:rsidR="000A4B51" w:rsidRPr="003F76DE">
        <w:rPr>
          <w:rStyle w:val="IntenseEmphasis"/>
          <w:rFonts w:cs="Arial"/>
          <w:b w:val="0"/>
        </w:rPr>
        <w:t xml:space="preserve"> </w:t>
      </w:r>
      <w:r w:rsidR="00B92A55" w:rsidRPr="003F76DE">
        <w:rPr>
          <w:rStyle w:val="IntenseEmphasis"/>
          <w:rFonts w:cs="Arial"/>
          <w:b w:val="0"/>
        </w:rPr>
        <w:t>This represents</w:t>
      </w:r>
      <w:r w:rsidR="00ED33B8" w:rsidRPr="003F76DE">
        <w:rPr>
          <w:rStyle w:val="IntenseEmphasis"/>
          <w:rFonts w:cs="Arial"/>
          <w:b w:val="0"/>
        </w:rPr>
        <w:t xml:space="preserve"> a </w:t>
      </w:r>
      <w:r w:rsidR="00611BA8">
        <w:rPr>
          <w:rStyle w:val="IntenseEmphasis"/>
          <w:rFonts w:cs="Arial"/>
          <w:b w:val="0"/>
        </w:rPr>
        <w:t>3.49</w:t>
      </w:r>
      <w:r w:rsidR="00B92A55" w:rsidRPr="003F76DE">
        <w:rPr>
          <w:rStyle w:val="IntenseEmphasis"/>
          <w:rFonts w:cs="Arial"/>
          <w:b w:val="0"/>
        </w:rPr>
        <w:t>% increase</w:t>
      </w:r>
      <w:r w:rsidR="00ED33B8" w:rsidRPr="003F76DE">
        <w:rPr>
          <w:rStyle w:val="IntenseEmphasis"/>
          <w:rFonts w:cs="Arial"/>
          <w:b w:val="0"/>
        </w:rPr>
        <w:t xml:space="preserve"> from last year’s tender.</w:t>
      </w:r>
      <w:r w:rsidR="00B92A55" w:rsidRPr="003F76DE">
        <w:rPr>
          <w:rStyle w:val="IntenseEmphasis"/>
          <w:rFonts w:cs="Arial"/>
          <w:b w:val="0"/>
        </w:rPr>
        <w:t xml:space="preserve"> </w:t>
      </w:r>
      <w:r w:rsidR="000A4B51" w:rsidRPr="003F76DE">
        <w:rPr>
          <w:rStyle w:val="IntenseEmphasis"/>
          <w:rFonts w:cs="Arial"/>
          <w:b w:val="0"/>
        </w:rPr>
        <w:t xml:space="preserve"> </w:t>
      </w:r>
      <w:r w:rsidRPr="003F76DE">
        <w:rPr>
          <w:rStyle w:val="IntenseEmphasis"/>
          <w:rFonts w:cs="Arial"/>
          <w:b w:val="0"/>
        </w:rPr>
        <w:t>Historical</w:t>
      </w:r>
      <w:r w:rsidR="000A4B51" w:rsidRPr="003F76DE">
        <w:rPr>
          <w:rStyle w:val="IntenseEmphasis"/>
          <w:rFonts w:cs="Arial"/>
          <w:b w:val="0"/>
        </w:rPr>
        <w:t>ly, the cost</w:t>
      </w:r>
      <w:r w:rsidRPr="003F76DE">
        <w:rPr>
          <w:rStyle w:val="IntenseEmphasis"/>
          <w:rFonts w:cs="Arial"/>
          <w:b w:val="0"/>
        </w:rPr>
        <w:t xml:space="preserve"> for the work included in this tender</w:t>
      </w:r>
      <w:r w:rsidR="000A4B51" w:rsidRPr="003F76DE">
        <w:rPr>
          <w:rStyle w:val="IntenseEmphasis"/>
          <w:rFonts w:cs="Arial"/>
          <w:b w:val="0"/>
        </w:rPr>
        <w:t xml:space="preserve"> from </w:t>
      </w:r>
      <w:r w:rsidR="00B92A55" w:rsidRPr="003F76DE">
        <w:rPr>
          <w:rStyle w:val="IntenseEmphasis"/>
          <w:rFonts w:cs="Arial"/>
          <w:b w:val="0"/>
        </w:rPr>
        <w:t>201</w:t>
      </w:r>
      <w:r w:rsidR="00611BA8">
        <w:rPr>
          <w:rStyle w:val="IntenseEmphasis"/>
          <w:rFonts w:cs="Arial"/>
          <w:b w:val="0"/>
        </w:rPr>
        <w:t>8</w:t>
      </w:r>
      <w:r w:rsidR="00B92A55" w:rsidRPr="003F76DE">
        <w:rPr>
          <w:rStyle w:val="IntenseEmphasis"/>
          <w:rFonts w:cs="Arial"/>
          <w:b w:val="0"/>
        </w:rPr>
        <w:t xml:space="preserve"> </w:t>
      </w:r>
      <w:r w:rsidR="000A4B51" w:rsidRPr="003F76DE">
        <w:rPr>
          <w:rStyle w:val="IntenseEmphasis"/>
          <w:rFonts w:cs="Arial"/>
          <w:b w:val="0"/>
        </w:rPr>
        <w:t>was</w:t>
      </w:r>
      <w:r w:rsidR="00B92A55" w:rsidRPr="003F76DE">
        <w:rPr>
          <w:rStyle w:val="IntenseEmphasis"/>
          <w:rFonts w:cs="Arial"/>
          <w:b w:val="0"/>
        </w:rPr>
        <w:t xml:space="preserve"> $13.</w:t>
      </w:r>
      <w:r w:rsidR="00611BA8">
        <w:rPr>
          <w:rStyle w:val="IntenseEmphasis"/>
          <w:rFonts w:cs="Arial"/>
          <w:b w:val="0"/>
        </w:rPr>
        <w:t>45</w:t>
      </w:r>
      <w:r w:rsidR="000A4B51" w:rsidRPr="003F76DE">
        <w:rPr>
          <w:rStyle w:val="IntenseEmphasis"/>
          <w:rFonts w:cs="Arial"/>
          <w:b w:val="0"/>
        </w:rPr>
        <w:t xml:space="preserve"> per tonne and from 201</w:t>
      </w:r>
      <w:r w:rsidR="00611BA8">
        <w:rPr>
          <w:rStyle w:val="IntenseEmphasis"/>
          <w:rFonts w:cs="Arial"/>
          <w:b w:val="0"/>
        </w:rPr>
        <w:t>7</w:t>
      </w:r>
      <w:r w:rsidR="000A4B51" w:rsidRPr="003F76DE">
        <w:rPr>
          <w:rStyle w:val="IntenseEmphasis"/>
          <w:rFonts w:cs="Arial"/>
          <w:b w:val="0"/>
        </w:rPr>
        <w:t xml:space="preserve"> was $13.</w:t>
      </w:r>
      <w:r w:rsidR="007A5933" w:rsidRPr="003F76DE">
        <w:rPr>
          <w:rStyle w:val="IntenseEmphasis"/>
          <w:rFonts w:cs="Arial"/>
          <w:b w:val="0"/>
        </w:rPr>
        <w:t>4</w:t>
      </w:r>
      <w:r w:rsidR="00611BA8">
        <w:rPr>
          <w:rStyle w:val="IntenseEmphasis"/>
          <w:rFonts w:cs="Arial"/>
          <w:b w:val="0"/>
        </w:rPr>
        <w:t>7</w:t>
      </w:r>
      <w:r w:rsidR="000A4B51" w:rsidRPr="003F76DE">
        <w:rPr>
          <w:rStyle w:val="IntenseEmphasis"/>
          <w:rFonts w:cs="Arial"/>
          <w:b w:val="0"/>
        </w:rPr>
        <w:t xml:space="preserve"> per tonne.</w:t>
      </w:r>
    </w:p>
    <w:tbl>
      <w:tblPr>
        <w:tblStyle w:val="TableGrid"/>
        <w:tblpPr w:leftFromText="180" w:rightFromText="180" w:vertAnchor="text" w:horzAnchor="margin" w:tblpY="468"/>
        <w:tblW w:w="10165" w:type="dxa"/>
        <w:tblLayout w:type="fixed"/>
        <w:tblLook w:val="04A0" w:firstRow="1" w:lastRow="0" w:firstColumn="1" w:lastColumn="0" w:noHBand="0" w:noVBand="1"/>
        <w:tblDescription w:val="A list of each bidder and their submission pricing excluding taxes"/>
      </w:tblPr>
      <w:tblGrid>
        <w:gridCol w:w="1975"/>
        <w:gridCol w:w="1440"/>
        <w:gridCol w:w="1350"/>
        <w:gridCol w:w="1350"/>
        <w:gridCol w:w="1350"/>
        <w:gridCol w:w="1350"/>
        <w:gridCol w:w="1350"/>
      </w:tblGrid>
      <w:tr w:rsidR="00F33743" w:rsidRPr="00F33743" w14:paraId="587D8883" w14:textId="77777777" w:rsidTr="00611BA8">
        <w:trPr>
          <w:trHeight w:val="840"/>
          <w:tblHeader/>
        </w:trPr>
        <w:tc>
          <w:tcPr>
            <w:tcW w:w="1975" w:type="dxa"/>
            <w:vAlign w:val="center"/>
          </w:tcPr>
          <w:p w14:paraId="226C165E" w14:textId="77777777" w:rsidR="00F33743" w:rsidRPr="00611BA8" w:rsidRDefault="00F33743" w:rsidP="00F33743">
            <w:pPr>
              <w:tabs>
                <w:tab w:val="right" w:pos="720"/>
                <w:tab w:val="left" w:pos="10800"/>
              </w:tabs>
              <w:jc w:val="center"/>
              <w:rPr>
                <w:rFonts w:cs="Arial"/>
                <w:b/>
                <w:sz w:val="22"/>
                <w:szCs w:val="22"/>
              </w:rPr>
            </w:pPr>
            <w:r w:rsidRPr="00611BA8">
              <w:rPr>
                <w:rFonts w:cs="Arial"/>
                <w:b/>
                <w:sz w:val="22"/>
                <w:szCs w:val="22"/>
              </w:rPr>
              <w:t>Name of Bidder</w:t>
            </w:r>
          </w:p>
        </w:tc>
        <w:tc>
          <w:tcPr>
            <w:tcW w:w="1440" w:type="dxa"/>
            <w:vAlign w:val="center"/>
          </w:tcPr>
          <w:p w14:paraId="27A2E778" w14:textId="77777777" w:rsidR="00F33743" w:rsidRPr="00611BA8" w:rsidRDefault="00F33743" w:rsidP="00F33743">
            <w:pPr>
              <w:tabs>
                <w:tab w:val="right" w:pos="720"/>
                <w:tab w:val="left" w:pos="10800"/>
              </w:tabs>
              <w:jc w:val="center"/>
              <w:rPr>
                <w:rFonts w:cs="Arial"/>
                <w:b/>
                <w:sz w:val="22"/>
                <w:szCs w:val="22"/>
              </w:rPr>
            </w:pPr>
            <w:r w:rsidRPr="00611BA8">
              <w:rPr>
                <w:rFonts w:cs="Arial"/>
                <w:b/>
                <w:sz w:val="22"/>
                <w:szCs w:val="22"/>
              </w:rPr>
              <w:t>Chatsworth</w:t>
            </w:r>
          </w:p>
        </w:tc>
        <w:tc>
          <w:tcPr>
            <w:tcW w:w="1350" w:type="dxa"/>
            <w:vAlign w:val="center"/>
          </w:tcPr>
          <w:p w14:paraId="2F96BFD6" w14:textId="77777777" w:rsidR="00F33743" w:rsidRPr="00611BA8" w:rsidRDefault="00F33743" w:rsidP="00F33743">
            <w:pPr>
              <w:tabs>
                <w:tab w:val="right" w:pos="720"/>
                <w:tab w:val="left" w:pos="10800"/>
              </w:tabs>
              <w:jc w:val="center"/>
              <w:rPr>
                <w:rFonts w:cs="Arial"/>
                <w:b/>
                <w:sz w:val="22"/>
                <w:szCs w:val="22"/>
              </w:rPr>
            </w:pPr>
            <w:r w:rsidRPr="00611BA8">
              <w:rPr>
                <w:rFonts w:cs="Arial"/>
                <w:b/>
                <w:sz w:val="22"/>
                <w:szCs w:val="22"/>
              </w:rPr>
              <w:t>Flesherton</w:t>
            </w:r>
          </w:p>
        </w:tc>
        <w:tc>
          <w:tcPr>
            <w:tcW w:w="1350" w:type="dxa"/>
            <w:vAlign w:val="center"/>
          </w:tcPr>
          <w:p w14:paraId="454A3508" w14:textId="77777777" w:rsidR="00F33743" w:rsidRPr="00611BA8" w:rsidRDefault="00F33743" w:rsidP="00F33743">
            <w:pPr>
              <w:tabs>
                <w:tab w:val="right" w:pos="720"/>
                <w:tab w:val="left" w:pos="10800"/>
              </w:tabs>
              <w:jc w:val="center"/>
              <w:rPr>
                <w:rFonts w:cs="Arial"/>
                <w:b/>
                <w:sz w:val="22"/>
                <w:szCs w:val="22"/>
              </w:rPr>
            </w:pPr>
            <w:r w:rsidRPr="00611BA8">
              <w:rPr>
                <w:rFonts w:cs="Arial"/>
                <w:b/>
                <w:sz w:val="22"/>
                <w:szCs w:val="22"/>
              </w:rPr>
              <w:t>Dundalk</w:t>
            </w:r>
          </w:p>
        </w:tc>
        <w:tc>
          <w:tcPr>
            <w:tcW w:w="1350" w:type="dxa"/>
            <w:tcBorders>
              <w:bottom w:val="single" w:sz="4" w:space="0" w:color="auto"/>
            </w:tcBorders>
            <w:vAlign w:val="center"/>
          </w:tcPr>
          <w:p w14:paraId="4AE147E7" w14:textId="77777777" w:rsidR="00F33743" w:rsidRPr="00611BA8" w:rsidRDefault="00F33743" w:rsidP="00F33743">
            <w:pPr>
              <w:tabs>
                <w:tab w:val="right" w:pos="720"/>
                <w:tab w:val="left" w:pos="10800"/>
              </w:tabs>
              <w:jc w:val="center"/>
              <w:rPr>
                <w:rFonts w:cs="Arial"/>
                <w:b/>
                <w:sz w:val="22"/>
                <w:szCs w:val="22"/>
              </w:rPr>
            </w:pPr>
            <w:r w:rsidRPr="00611BA8">
              <w:rPr>
                <w:rFonts w:cs="Arial"/>
                <w:b/>
                <w:sz w:val="22"/>
                <w:szCs w:val="22"/>
              </w:rPr>
              <w:t>Ayton</w:t>
            </w:r>
          </w:p>
        </w:tc>
        <w:tc>
          <w:tcPr>
            <w:tcW w:w="1350" w:type="dxa"/>
            <w:tcBorders>
              <w:bottom w:val="single" w:sz="4" w:space="0" w:color="auto"/>
            </w:tcBorders>
            <w:vAlign w:val="center"/>
          </w:tcPr>
          <w:p w14:paraId="3F903425" w14:textId="77777777" w:rsidR="00F33743" w:rsidRPr="00611BA8" w:rsidRDefault="00F33743" w:rsidP="00F33743">
            <w:pPr>
              <w:tabs>
                <w:tab w:val="right" w:pos="720"/>
                <w:tab w:val="left" w:pos="10800"/>
              </w:tabs>
              <w:ind w:left="-108"/>
              <w:jc w:val="center"/>
              <w:rPr>
                <w:rFonts w:cs="Arial"/>
                <w:b/>
                <w:sz w:val="22"/>
                <w:szCs w:val="22"/>
              </w:rPr>
            </w:pPr>
            <w:r w:rsidRPr="00611BA8">
              <w:rPr>
                <w:rFonts w:cs="Arial"/>
                <w:b/>
                <w:sz w:val="22"/>
                <w:szCs w:val="22"/>
              </w:rPr>
              <w:t>Clarksburg</w:t>
            </w:r>
          </w:p>
        </w:tc>
        <w:tc>
          <w:tcPr>
            <w:tcW w:w="1350" w:type="dxa"/>
            <w:tcBorders>
              <w:bottom w:val="single" w:sz="4" w:space="0" w:color="auto"/>
            </w:tcBorders>
            <w:vAlign w:val="center"/>
          </w:tcPr>
          <w:p w14:paraId="1A2D575F" w14:textId="77777777" w:rsidR="00F33743" w:rsidRPr="00611BA8" w:rsidRDefault="00F33743" w:rsidP="00F33743">
            <w:pPr>
              <w:tabs>
                <w:tab w:val="right" w:pos="720"/>
                <w:tab w:val="left" w:pos="10800"/>
              </w:tabs>
              <w:ind w:left="-108"/>
              <w:jc w:val="center"/>
              <w:rPr>
                <w:rFonts w:cs="Arial"/>
                <w:b/>
                <w:sz w:val="22"/>
                <w:szCs w:val="22"/>
              </w:rPr>
            </w:pPr>
            <w:r w:rsidRPr="00611BA8">
              <w:rPr>
                <w:rFonts w:cs="Arial"/>
                <w:b/>
                <w:sz w:val="22"/>
                <w:szCs w:val="22"/>
              </w:rPr>
              <w:t>Kimberley</w:t>
            </w:r>
          </w:p>
        </w:tc>
      </w:tr>
      <w:tr w:rsidR="00F33743" w:rsidRPr="00F33743" w14:paraId="59E0DD94" w14:textId="77777777" w:rsidTr="00611BA8">
        <w:trPr>
          <w:trHeight w:val="840"/>
        </w:trPr>
        <w:tc>
          <w:tcPr>
            <w:tcW w:w="1975" w:type="dxa"/>
            <w:vAlign w:val="center"/>
          </w:tcPr>
          <w:p w14:paraId="62EB01D9" w14:textId="77777777" w:rsidR="00F33743" w:rsidRPr="00611BA8" w:rsidRDefault="00F33743" w:rsidP="00F33743">
            <w:pPr>
              <w:tabs>
                <w:tab w:val="right" w:pos="720"/>
                <w:tab w:val="left" w:pos="10800"/>
              </w:tabs>
              <w:rPr>
                <w:rFonts w:cs="Arial"/>
                <w:sz w:val="22"/>
                <w:szCs w:val="22"/>
              </w:rPr>
            </w:pPr>
            <w:r w:rsidRPr="00611BA8">
              <w:rPr>
                <w:rFonts w:cs="Arial"/>
                <w:sz w:val="22"/>
                <w:szCs w:val="22"/>
              </w:rPr>
              <w:t>Cedarwell Excavating Ltd.</w:t>
            </w:r>
          </w:p>
        </w:tc>
        <w:tc>
          <w:tcPr>
            <w:tcW w:w="1440" w:type="dxa"/>
            <w:tcBorders>
              <w:bottom w:val="single" w:sz="4" w:space="0" w:color="auto"/>
            </w:tcBorders>
            <w:shd w:val="clear" w:color="auto" w:fill="auto"/>
            <w:vAlign w:val="center"/>
          </w:tcPr>
          <w:p w14:paraId="6CB2D020" w14:textId="77777777" w:rsidR="00F33743" w:rsidRPr="00611BA8" w:rsidRDefault="00F33743" w:rsidP="00F33743">
            <w:pPr>
              <w:jc w:val="center"/>
              <w:rPr>
                <w:rFonts w:cs="Arial"/>
                <w:color w:val="000000"/>
                <w:sz w:val="22"/>
                <w:szCs w:val="22"/>
              </w:rPr>
            </w:pPr>
            <w:r w:rsidRPr="00611BA8">
              <w:rPr>
                <w:rFonts w:cs="Arial"/>
                <w:color w:val="000000"/>
                <w:sz w:val="22"/>
                <w:szCs w:val="22"/>
              </w:rPr>
              <w:t>No Bid</w:t>
            </w:r>
          </w:p>
        </w:tc>
        <w:tc>
          <w:tcPr>
            <w:tcW w:w="1350" w:type="dxa"/>
            <w:tcBorders>
              <w:bottom w:val="single" w:sz="4" w:space="0" w:color="auto"/>
            </w:tcBorders>
            <w:shd w:val="clear" w:color="auto" w:fill="auto"/>
            <w:vAlign w:val="center"/>
          </w:tcPr>
          <w:p w14:paraId="22E743DA" w14:textId="77777777" w:rsidR="00F33743" w:rsidRPr="00611BA8" w:rsidRDefault="00F33743" w:rsidP="00F33743">
            <w:pPr>
              <w:jc w:val="center"/>
              <w:rPr>
                <w:rFonts w:cs="Arial"/>
                <w:color w:val="000000"/>
                <w:sz w:val="22"/>
                <w:szCs w:val="22"/>
              </w:rPr>
            </w:pPr>
            <w:r w:rsidRPr="00611BA8">
              <w:rPr>
                <w:rFonts w:cs="Arial"/>
                <w:color w:val="000000"/>
                <w:sz w:val="22"/>
                <w:szCs w:val="22"/>
              </w:rPr>
              <w:t>No Bid</w:t>
            </w:r>
          </w:p>
        </w:tc>
        <w:tc>
          <w:tcPr>
            <w:tcW w:w="1350" w:type="dxa"/>
            <w:tcBorders>
              <w:bottom w:val="single" w:sz="4" w:space="0" w:color="auto"/>
            </w:tcBorders>
            <w:shd w:val="clear" w:color="auto" w:fill="auto"/>
            <w:vAlign w:val="center"/>
          </w:tcPr>
          <w:p w14:paraId="1D22CF26" w14:textId="77777777" w:rsidR="00F33743" w:rsidRPr="00611BA8" w:rsidRDefault="00F33743" w:rsidP="00F33743">
            <w:pPr>
              <w:jc w:val="center"/>
              <w:rPr>
                <w:rFonts w:cs="Arial"/>
                <w:color w:val="000000"/>
                <w:sz w:val="22"/>
                <w:szCs w:val="22"/>
              </w:rPr>
            </w:pPr>
            <w:r w:rsidRPr="00611BA8">
              <w:rPr>
                <w:rFonts w:cs="Arial"/>
                <w:color w:val="000000"/>
                <w:sz w:val="22"/>
                <w:szCs w:val="22"/>
              </w:rPr>
              <w:t>No Bid</w:t>
            </w:r>
          </w:p>
        </w:tc>
        <w:tc>
          <w:tcPr>
            <w:tcW w:w="1350" w:type="dxa"/>
            <w:shd w:val="clear" w:color="auto" w:fill="auto"/>
            <w:vAlign w:val="center"/>
          </w:tcPr>
          <w:p w14:paraId="5B71AD2F" w14:textId="21E0FF40" w:rsidR="00F33743" w:rsidRPr="00611BA8" w:rsidRDefault="00F33743" w:rsidP="00F33743">
            <w:pPr>
              <w:jc w:val="center"/>
              <w:rPr>
                <w:rFonts w:cs="Arial"/>
                <w:color w:val="000000"/>
                <w:sz w:val="22"/>
                <w:szCs w:val="22"/>
              </w:rPr>
            </w:pPr>
            <w:r w:rsidRPr="00611BA8">
              <w:rPr>
                <w:rFonts w:cs="Arial"/>
                <w:color w:val="000000"/>
                <w:sz w:val="22"/>
                <w:szCs w:val="22"/>
              </w:rPr>
              <w:t>$66,248</w:t>
            </w:r>
            <w:r w:rsidR="00F45020">
              <w:rPr>
                <w:rFonts w:cs="Arial"/>
                <w:color w:val="000000"/>
                <w:sz w:val="22"/>
                <w:szCs w:val="22"/>
              </w:rPr>
              <w:t>.00</w:t>
            </w:r>
          </w:p>
        </w:tc>
        <w:tc>
          <w:tcPr>
            <w:tcW w:w="1350" w:type="dxa"/>
            <w:shd w:val="clear" w:color="auto" w:fill="auto"/>
            <w:vAlign w:val="center"/>
          </w:tcPr>
          <w:p w14:paraId="330DCFBF" w14:textId="77777777" w:rsidR="00F33743" w:rsidRPr="00611BA8" w:rsidRDefault="00F33743" w:rsidP="00F33743">
            <w:pPr>
              <w:jc w:val="center"/>
              <w:rPr>
                <w:rFonts w:cs="Arial"/>
                <w:color w:val="000000"/>
                <w:sz w:val="22"/>
                <w:szCs w:val="22"/>
              </w:rPr>
            </w:pPr>
            <w:r w:rsidRPr="00611BA8">
              <w:rPr>
                <w:rFonts w:cs="Arial"/>
                <w:color w:val="000000"/>
                <w:sz w:val="22"/>
                <w:szCs w:val="22"/>
              </w:rPr>
              <w:t>No Bid</w:t>
            </w:r>
          </w:p>
        </w:tc>
        <w:tc>
          <w:tcPr>
            <w:tcW w:w="1350" w:type="dxa"/>
            <w:shd w:val="clear" w:color="auto" w:fill="auto"/>
            <w:vAlign w:val="center"/>
          </w:tcPr>
          <w:p w14:paraId="33E7ACE7" w14:textId="77777777" w:rsidR="00F33743" w:rsidRPr="00611BA8" w:rsidRDefault="00F33743" w:rsidP="00F33743">
            <w:pPr>
              <w:jc w:val="center"/>
              <w:rPr>
                <w:rFonts w:cs="Arial"/>
                <w:color w:val="000000"/>
                <w:sz w:val="22"/>
                <w:szCs w:val="22"/>
              </w:rPr>
            </w:pPr>
            <w:r w:rsidRPr="00611BA8">
              <w:rPr>
                <w:rFonts w:cs="Arial"/>
                <w:color w:val="000000"/>
                <w:sz w:val="22"/>
                <w:szCs w:val="22"/>
              </w:rPr>
              <w:t>No Bid</w:t>
            </w:r>
          </w:p>
        </w:tc>
      </w:tr>
      <w:tr w:rsidR="00F33743" w:rsidRPr="00F33743" w14:paraId="533AED25" w14:textId="77777777" w:rsidTr="00611BA8">
        <w:trPr>
          <w:trHeight w:val="840"/>
        </w:trPr>
        <w:tc>
          <w:tcPr>
            <w:tcW w:w="1975" w:type="dxa"/>
            <w:vAlign w:val="center"/>
          </w:tcPr>
          <w:p w14:paraId="22A1516E" w14:textId="77777777" w:rsidR="00F33743" w:rsidRPr="00611BA8" w:rsidRDefault="00F33743" w:rsidP="00F33743">
            <w:pPr>
              <w:tabs>
                <w:tab w:val="right" w:pos="720"/>
                <w:tab w:val="left" w:pos="10800"/>
              </w:tabs>
              <w:rPr>
                <w:rFonts w:cs="Arial"/>
                <w:sz w:val="22"/>
                <w:szCs w:val="22"/>
              </w:rPr>
            </w:pPr>
            <w:r w:rsidRPr="00611BA8">
              <w:rPr>
                <w:rFonts w:cs="Arial"/>
                <w:sz w:val="22"/>
                <w:szCs w:val="22"/>
              </w:rPr>
              <w:t>E.C. King Contracting</w:t>
            </w:r>
          </w:p>
        </w:tc>
        <w:tc>
          <w:tcPr>
            <w:tcW w:w="1440" w:type="dxa"/>
            <w:shd w:val="clear" w:color="auto" w:fill="auto"/>
            <w:vAlign w:val="center"/>
          </w:tcPr>
          <w:p w14:paraId="21BDBA8F" w14:textId="77777777" w:rsidR="00F33743" w:rsidRPr="00611BA8" w:rsidRDefault="00F33743" w:rsidP="00F33743">
            <w:pPr>
              <w:jc w:val="center"/>
              <w:rPr>
                <w:rFonts w:cs="Arial"/>
                <w:color w:val="000000"/>
                <w:sz w:val="22"/>
                <w:szCs w:val="22"/>
              </w:rPr>
            </w:pPr>
            <w:r w:rsidRPr="00611BA8">
              <w:rPr>
                <w:rFonts w:cs="Arial"/>
                <w:color w:val="000000"/>
                <w:sz w:val="22"/>
                <w:szCs w:val="22"/>
              </w:rPr>
              <w:t>$54,437.50</w:t>
            </w:r>
          </w:p>
        </w:tc>
        <w:tc>
          <w:tcPr>
            <w:tcW w:w="1350" w:type="dxa"/>
            <w:shd w:val="clear" w:color="auto" w:fill="auto"/>
            <w:vAlign w:val="center"/>
          </w:tcPr>
          <w:p w14:paraId="06AAD260" w14:textId="77777777" w:rsidR="00F33743" w:rsidRPr="00611BA8" w:rsidRDefault="00F33743" w:rsidP="00F33743">
            <w:pPr>
              <w:jc w:val="center"/>
              <w:rPr>
                <w:rFonts w:cs="Arial"/>
                <w:color w:val="000000"/>
                <w:sz w:val="22"/>
                <w:szCs w:val="22"/>
              </w:rPr>
            </w:pPr>
            <w:r w:rsidRPr="00611BA8">
              <w:rPr>
                <w:rFonts w:cs="Arial"/>
                <w:color w:val="000000"/>
                <w:sz w:val="22"/>
                <w:szCs w:val="22"/>
              </w:rPr>
              <w:t>No Bid</w:t>
            </w:r>
          </w:p>
        </w:tc>
        <w:tc>
          <w:tcPr>
            <w:tcW w:w="1350" w:type="dxa"/>
            <w:shd w:val="clear" w:color="auto" w:fill="auto"/>
            <w:vAlign w:val="center"/>
          </w:tcPr>
          <w:p w14:paraId="625558DB" w14:textId="77777777" w:rsidR="00F33743" w:rsidRPr="00611BA8" w:rsidRDefault="00F33743" w:rsidP="00F33743">
            <w:pPr>
              <w:jc w:val="center"/>
              <w:rPr>
                <w:rFonts w:cs="Arial"/>
                <w:color w:val="000000"/>
                <w:sz w:val="22"/>
                <w:szCs w:val="22"/>
              </w:rPr>
            </w:pPr>
            <w:r w:rsidRPr="00611BA8">
              <w:rPr>
                <w:rFonts w:cs="Arial"/>
                <w:color w:val="000000"/>
                <w:sz w:val="22"/>
                <w:szCs w:val="22"/>
              </w:rPr>
              <w:t>No Bid</w:t>
            </w:r>
          </w:p>
        </w:tc>
        <w:tc>
          <w:tcPr>
            <w:tcW w:w="1350" w:type="dxa"/>
            <w:shd w:val="clear" w:color="auto" w:fill="auto"/>
            <w:vAlign w:val="center"/>
          </w:tcPr>
          <w:p w14:paraId="7F3EBB4C" w14:textId="77777777" w:rsidR="00F33743" w:rsidRPr="00611BA8" w:rsidRDefault="00F33743" w:rsidP="00F33743">
            <w:pPr>
              <w:jc w:val="center"/>
              <w:rPr>
                <w:rFonts w:cs="Arial"/>
                <w:color w:val="000000"/>
                <w:sz w:val="22"/>
                <w:szCs w:val="22"/>
              </w:rPr>
            </w:pPr>
            <w:r w:rsidRPr="00611BA8">
              <w:rPr>
                <w:rFonts w:cs="Arial"/>
                <w:color w:val="000000"/>
                <w:sz w:val="22"/>
                <w:szCs w:val="22"/>
              </w:rPr>
              <w:t>No Bid</w:t>
            </w:r>
          </w:p>
        </w:tc>
        <w:tc>
          <w:tcPr>
            <w:tcW w:w="1350" w:type="dxa"/>
            <w:shd w:val="clear" w:color="auto" w:fill="auto"/>
            <w:vAlign w:val="center"/>
          </w:tcPr>
          <w:p w14:paraId="24A44879" w14:textId="1762768C" w:rsidR="00F33743" w:rsidRPr="00611BA8" w:rsidRDefault="00F33743" w:rsidP="00F33743">
            <w:pPr>
              <w:jc w:val="center"/>
              <w:rPr>
                <w:rFonts w:cs="Arial"/>
                <w:color w:val="000000"/>
                <w:sz w:val="22"/>
                <w:szCs w:val="22"/>
              </w:rPr>
            </w:pPr>
            <w:r w:rsidRPr="00611BA8">
              <w:rPr>
                <w:rFonts w:cs="Arial"/>
                <w:color w:val="000000"/>
                <w:sz w:val="22"/>
                <w:szCs w:val="22"/>
              </w:rPr>
              <w:t>$89,730</w:t>
            </w:r>
            <w:r w:rsidR="00611BA8" w:rsidRPr="00611BA8">
              <w:rPr>
                <w:rFonts w:cs="Arial"/>
                <w:color w:val="000000"/>
                <w:sz w:val="22"/>
                <w:szCs w:val="22"/>
              </w:rPr>
              <w:t>.00</w:t>
            </w:r>
          </w:p>
        </w:tc>
        <w:tc>
          <w:tcPr>
            <w:tcW w:w="1350" w:type="dxa"/>
            <w:shd w:val="clear" w:color="auto" w:fill="auto"/>
            <w:vAlign w:val="center"/>
          </w:tcPr>
          <w:p w14:paraId="4D7D1928" w14:textId="2D2950F1" w:rsidR="00F33743" w:rsidRPr="00611BA8" w:rsidRDefault="00F33743" w:rsidP="00F33743">
            <w:pPr>
              <w:jc w:val="center"/>
              <w:rPr>
                <w:rFonts w:cs="Arial"/>
                <w:color w:val="000000"/>
                <w:sz w:val="22"/>
                <w:szCs w:val="22"/>
              </w:rPr>
            </w:pPr>
            <w:r w:rsidRPr="00611BA8">
              <w:rPr>
                <w:rFonts w:cs="Arial"/>
                <w:color w:val="000000"/>
                <w:sz w:val="22"/>
                <w:szCs w:val="22"/>
              </w:rPr>
              <w:t>$51,766</w:t>
            </w:r>
            <w:r w:rsidR="00611BA8" w:rsidRPr="00611BA8">
              <w:rPr>
                <w:rFonts w:cs="Arial"/>
                <w:color w:val="000000"/>
                <w:sz w:val="22"/>
                <w:szCs w:val="22"/>
              </w:rPr>
              <w:t>.00</w:t>
            </w:r>
          </w:p>
        </w:tc>
      </w:tr>
      <w:tr w:rsidR="00F33743" w:rsidRPr="00F33743" w14:paraId="2A98EDAB" w14:textId="77777777" w:rsidTr="00611BA8">
        <w:trPr>
          <w:trHeight w:val="840"/>
        </w:trPr>
        <w:tc>
          <w:tcPr>
            <w:tcW w:w="1975" w:type="dxa"/>
            <w:vAlign w:val="center"/>
          </w:tcPr>
          <w:p w14:paraId="16A88793" w14:textId="77777777" w:rsidR="00F33743" w:rsidRPr="00611BA8" w:rsidRDefault="00F33743" w:rsidP="00F33743">
            <w:pPr>
              <w:tabs>
                <w:tab w:val="right" w:pos="720"/>
                <w:tab w:val="left" w:pos="10800"/>
              </w:tabs>
              <w:rPr>
                <w:rFonts w:cs="Arial"/>
                <w:sz w:val="22"/>
                <w:szCs w:val="22"/>
              </w:rPr>
            </w:pPr>
            <w:r w:rsidRPr="00611BA8">
              <w:rPr>
                <w:rFonts w:cs="Arial"/>
                <w:sz w:val="22"/>
                <w:szCs w:val="22"/>
              </w:rPr>
              <w:t>Harold Sutherland Construction Ltd.</w:t>
            </w:r>
          </w:p>
        </w:tc>
        <w:tc>
          <w:tcPr>
            <w:tcW w:w="1440" w:type="dxa"/>
            <w:shd w:val="clear" w:color="auto" w:fill="auto"/>
            <w:vAlign w:val="center"/>
          </w:tcPr>
          <w:p w14:paraId="5A65D1CA" w14:textId="77777777" w:rsidR="00F33743" w:rsidRPr="00611BA8" w:rsidRDefault="00F33743" w:rsidP="00F33743">
            <w:pPr>
              <w:tabs>
                <w:tab w:val="right" w:pos="720"/>
                <w:tab w:val="left" w:pos="10800"/>
              </w:tabs>
              <w:jc w:val="center"/>
              <w:rPr>
                <w:rFonts w:cs="Arial"/>
                <w:sz w:val="22"/>
                <w:szCs w:val="22"/>
              </w:rPr>
            </w:pPr>
            <w:r w:rsidRPr="00611BA8">
              <w:rPr>
                <w:rFonts w:cs="Arial"/>
                <w:color w:val="000000"/>
                <w:sz w:val="22"/>
                <w:szCs w:val="22"/>
              </w:rPr>
              <w:t>$45,124.50</w:t>
            </w:r>
          </w:p>
        </w:tc>
        <w:tc>
          <w:tcPr>
            <w:tcW w:w="1350" w:type="dxa"/>
            <w:shd w:val="clear" w:color="auto" w:fill="auto"/>
            <w:vAlign w:val="center"/>
          </w:tcPr>
          <w:p w14:paraId="0F2E25DA" w14:textId="77777777" w:rsidR="00F33743" w:rsidRPr="00611BA8" w:rsidRDefault="00F33743" w:rsidP="00F33743">
            <w:pPr>
              <w:jc w:val="center"/>
              <w:rPr>
                <w:rFonts w:cs="Arial"/>
                <w:color w:val="000000"/>
                <w:sz w:val="22"/>
                <w:szCs w:val="22"/>
              </w:rPr>
            </w:pPr>
            <w:r w:rsidRPr="00611BA8">
              <w:rPr>
                <w:rFonts w:cs="Arial"/>
                <w:color w:val="000000"/>
                <w:sz w:val="22"/>
                <w:szCs w:val="22"/>
              </w:rPr>
              <w:t>$63,984.00</w:t>
            </w:r>
          </w:p>
        </w:tc>
        <w:tc>
          <w:tcPr>
            <w:tcW w:w="1350" w:type="dxa"/>
            <w:shd w:val="clear" w:color="auto" w:fill="auto"/>
            <w:vAlign w:val="center"/>
          </w:tcPr>
          <w:p w14:paraId="786ECC25" w14:textId="77777777" w:rsidR="00F33743" w:rsidRPr="00611BA8" w:rsidRDefault="00F33743" w:rsidP="00F33743">
            <w:pPr>
              <w:jc w:val="center"/>
              <w:rPr>
                <w:rFonts w:cs="Arial"/>
                <w:color w:val="000000"/>
                <w:sz w:val="22"/>
                <w:szCs w:val="22"/>
              </w:rPr>
            </w:pPr>
            <w:r w:rsidRPr="00611BA8">
              <w:rPr>
                <w:rFonts w:cs="Arial"/>
                <w:color w:val="000000"/>
                <w:sz w:val="22"/>
                <w:szCs w:val="22"/>
              </w:rPr>
              <w:t>$54,131.00</w:t>
            </w:r>
          </w:p>
        </w:tc>
        <w:tc>
          <w:tcPr>
            <w:tcW w:w="1350" w:type="dxa"/>
            <w:shd w:val="clear" w:color="auto" w:fill="auto"/>
            <w:vAlign w:val="center"/>
          </w:tcPr>
          <w:p w14:paraId="4D9AB13C" w14:textId="77777777" w:rsidR="00F33743" w:rsidRPr="00611BA8" w:rsidRDefault="00F33743" w:rsidP="00F33743">
            <w:pPr>
              <w:jc w:val="center"/>
              <w:rPr>
                <w:rFonts w:cs="Arial"/>
                <w:color w:val="000000"/>
                <w:sz w:val="22"/>
                <w:szCs w:val="22"/>
              </w:rPr>
            </w:pPr>
            <w:r w:rsidRPr="00611BA8">
              <w:rPr>
                <w:rFonts w:cs="Arial"/>
                <w:color w:val="000000"/>
                <w:sz w:val="22"/>
                <w:szCs w:val="22"/>
              </w:rPr>
              <w:t>$66,196.00</w:t>
            </w:r>
          </w:p>
        </w:tc>
        <w:tc>
          <w:tcPr>
            <w:tcW w:w="1350" w:type="dxa"/>
            <w:shd w:val="clear" w:color="auto" w:fill="auto"/>
            <w:vAlign w:val="center"/>
          </w:tcPr>
          <w:p w14:paraId="428E2622" w14:textId="77777777" w:rsidR="00F33743" w:rsidRPr="00611BA8" w:rsidRDefault="00F33743" w:rsidP="00F33743">
            <w:pPr>
              <w:tabs>
                <w:tab w:val="right" w:pos="720"/>
                <w:tab w:val="left" w:pos="10800"/>
              </w:tabs>
              <w:jc w:val="center"/>
              <w:rPr>
                <w:rFonts w:cs="Arial"/>
                <w:sz w:val="22"/>
                <w:szCs w:val="22"/>
              </w:rPr>
            </w:pPr>
            <w:r w:rsidRPr="00611BA8">
              <w:rPr>
                <w:rFonts w:cs="Arial"/>
                <w:color w:val="000000"/>
                <w:sz w:val="22"/>
                <w:szCs w:val="22"/>
              </w:rPr>
              <w:t>$64,980.00</w:t>
            </w:r>
          </w:p>
        </w:tc>
        <w:tc>
          <w:tcPr>
            <w:tcW w:w="1350" w:type="dxa"/>
            <w:shd w:val="clear" w:color="auto" w:fill="auto"/>
            <w:vAlign w:val="center"/>
          </w:tcPr>
          <w:p w14:paraId="6259D04C" w14:textId="77777777" w:rsidR="00F33743" w:rsidRPr="00611BA8" w:rsidRDefault="00F33743" w:rsidP="00F33743">
            <w:pPr>
              <w:jc w:val="center"/>
              <w:rPr>
                <w:rFonts w:cs="Arial"/>
                <w:color w:val="000000"/>
                <w:sz w:val="22"/>
                <w:szCs w:val="22"/>
              </w:rPr>
            </w:pPr>
            <w:r w:rsidRPr="00611BA8">
              <w:rPr>
                <w:rFonts w:cs="Arial"/>
                <w:color w:val="000000"/>
                <w:sz w:val="22"/>
                <w:szCs w:val="22"/>
              </w:rPr>
              <w:t>$41,782.00</w:t>
            </w:r>
          </w:p>
        </w:tc>
      </w:tr>
    </w:tbl>
    <w:p w14:paraId="64FEE604" w14:textId="03CB71F3" w:rsidR="00866804" w:rsidRPr="007A5933" w:rsidRDefault="00866804" w:rsidP="00EA5BF0">
      <w:pPr>
        <w:spacing w:after="240"/>
        <w:rPr>
          <w:rStyle w:val="IntenseEmphasis"/>
          <w:rFonts w:cs="Arial"/>
          <w:b w:val="0"/>
        </w:rPr>
      </w:pPr>
      <w:r w:rsidRPr="007A5933">
        <w:rPr>
          <w:rStyle w:val="IntenseEmphasis"/>
          <w:rFonts w:cs="Arial"/>
          <w:b w:val="0"/>
        </w:rPr>
        <w:t xml:space="preserve">The full </w:t>
      </w:r>
      <w:r w:rsidR="00F33743">
        <w:rPr>
          <w:rStyle w:val="IntenseEmphasis"/>
          <w:rFonts w:cs="Arial"/>
          <w:b w:val="0"/>
        </w:rPr>
        <w:t xml:space="preserve">bid </w:t>
      </w:r>
      <w:r w:rsidRPr="007A5933">
        <w:rPr>
          <w:rStyle w:val="IntenseEmphasis"/>
          <w:rFonts w:cs="Arial"/>
          <w:b w:val="0"/>
        </w:rPr>
        <w:t>cost</w:t>
      </w:r>
      <w:r w:rsidR="00F33743">
        <w:rPr>
          <w:rStyle w:val="IntenseEmphasis"/>
          <w:rFonts w:cs="Arial"/>
          <w:b w:val="0"/>
        </w:rPr>
        <w:t>s</w:t>
      </w:r>
      <w:r w:rsidRPr="007A5933">
        <w:rPr>
          <w:rStyle w:val="IntenseEmphasis"/>
          <w:rFonts w:cs="Arial"/>
          <w:b w:val="0"/>
        </w:rPr>
        <w:t xml:space="preserve">, excluding H.S.T., for each location </w:t>
      </w:r>
      <w:r w:rsidR="000A4B51" w:rsidRPr="007A5933">
        <w:rPr>
          <w:rStyle w:val="IntenseEmphasis"/>
          <w:rFonts w:cs="Arial"/>
          <w:b w:val="0"/>
        </w:rPr>
        <w:t>are</w:t>
      </w:r>
      <w:r w:rsidRPr="007A5933">
        <w:rPr>
          <w:rStyle w:val="IntenseEmphasis"/>
          <w:rFonts w:cs="Arial"/>
          <w:b w:val="0"/>
        </w:rPr>
        <w:t xml:space="preserve"> as follows:</w:t>
      </w:r>
    </w:p>
    <w:p w14:paraId="5DC70DCD" w14:textId="77777777" w:rsidR="00EF2B1E" w:rsidRPr="00B87983" w:rsidRDefault="00EF2B1E" w:rsidP="00F33743">
      <w:pPr>
        <w:pStyle w:val="Heading2"/>
        <w:spacing w:before="600"/>
        <w:rPr>
          <w:rStyle w:val="IntenseEmphasis"/>
          <w:rFonts w:cs="Arial"/>
          <w:b w:val="0"/>
        </w:rPr>
      </w:pPr>
      <w:r w:rsidRPr="00B87983">
        <w:rPr>
          <w:rStyle w:val="IntenseEmphasis"/>
          <w:rFonts w:cs="Arial"/>
          <w:b w:val="0"/>
        </w:rPr>
        <w:t>Legal and Legislated Requirements</w:t>
      </w:r>
    </w:p>
    <w:p w14:paraId="38694CBC" w14:textId="77777777" w:rsidR="00DB2736" w:rsidRPr="00B87983" w:rsidRDefault="00866804" w:rsidP="00EF2B1E">
      <w:pPr>
        <w:rPr>
          <w:rStyle w:val="IntenseEmphasis"/>
          <w:rFonts w:cs="Arial"/>
          <w:b w:val="0"/>
        </w:rPr>
      </w:pPr>
      <w:r w:rsidRPr="00B87983">
        <w:rPr>
          <w:rStyle w:val="IntenseEmphasis"/>
          <w:rFonts w:cs="Arial"/>
          <w:b w:val="0"/>
        </w:rPr>
        <w:t>None</w:t>
      </w:r>
    </w:p>
    <w:p w14:paraId="3AB1AB47" w14:textId="62ECD097" w:rsidR="00EF2B1E" w:rsidRPr="00B87983" w:rsidRDefault="00EF2B1E" w:rsidP="009F7C7E">
      <w:pPr>
        <w:pStyle w:val="Heading2"/>
        <w:rPr>
          <w:rStyle w:val="IntenseEmphasis"/>
          <w:rFonts w:cs="Arial"/>
          <w:b w:val="0"/>
        </w:rPr>
      </w:pPr>
      <w:r w:rsidRPr="00B87983">
        <w:rPr>
          <w:rStyle w:val="IntenseEmphasis"/>
          <w:rFonts w:cs="Arial"/>
          <w:b w:val="0"/>
        </w:rPr>
        <w:lastRenderedPageBreak/>
        <w:t>Financial and Resource Implications</w:t>
      </w:r>
    </w:p>
    <w:p w14:paraId="4D049A9C" w14:textId="120473AA" w:rsidR="00EF2B1E" w:rsidRPr="007A4CD2" w:rsidRDefault="00866804" w:rsidP="00EF2B1E">
      <w:pPr>
        <w:rPr>
          <w:rStyle w:val="IntenseEmphasis"/>
          <w:rFonts w:cs="Arial"/>
          <w:b w:val="0"/>
        </w:rPr>
      </w:pPr>
      <w:r w:rsidRPr="007A5933">
        <w:rPr>
          <w:rStyle w:val="IntenseEmphasis"/>
          <w:rFonts w:cs="Arial"/>
          <w:b w:val="0"/>
        </w:rPr>
        <w:t>The total tendered amount including non-refundable H.S.T., based on tendered quantities is $</w:t>
      </w:r>
      <w:r w:rsidR="007A4CD2">
        <w:rPr>
          <w:rStyle w:val="IntenseEmphasis"/>
          <w:rFonts w:cs="Arial"/>
          <w:b w:val="0"/>
        </w:rPr>
        <w:t>342,114.58</w:t>
      </w:r>
      <w:r w:rsidR="006F1E07" w:rsidRPr="007A5933">
        <w:rPr>
          <w:rStyle w:val="IntenseEmphasis"/>
          <w:rFonts w:cs="Arial"/>
          <w:b w:val="0"/>
        </w:rPr>
        <w:t>,</w:t>
      </w:r>
      <w:r w:rsidRPr="007A5933">
        <w:rPr>
          <w:rStyle w:val="IntenseEmphasis"/>
          <w:rFonts w:cs="Arial"/>
          <w:b w:val="0"/>
        </w:rPr>
        <w:t xml:space="preserve"> </w:t>
      </w:r>
      <w:r w:rsidRPr="007A4CD2">
        <w:rPr>
          <w:rStyle w:val="IntenseEmphasis"/>
          <w:rFonts w:cs="Arial"/>
          <w:b w:val="0"/>
        </w:rPr>
        <w:t xml:space="preserve">plus the cost of salt, </w:t>
      </w:r>
      <w:r w:rsidR="00B85646" w:rsidRPr="007A4CD2">
        <w:rPr>
          <w:rStyle w:val="IntenseEmphasis"/>
          <w:rFonts w:cs="Arial"/>
          <w:b w:val="0"/>
        </w:rPr>
        <w:t>total</w:t>
      </w:r>
      <w:r w:rsidR="00B85646">
        <w:rPr>
          <w:rStyle w:val="IntenseEmphasis"/>
          <w:rFonts w:cs="Arial"/>
          <w:b w:val="0"/>
        </w:rPr>
        <w:t>i</w:t>
      </w:r>
      <w:r w:rsidR="00B85646" w:rsidRPr="007A4CD2">
        <w:rPr>
          <w:rStyle w:val="IntenseEmphasis"/>
          <w:rFonts w:cs="Arial"/>
          <w:b w:val="0"/>
        </w:rPr>
        <w:t>ng</w:t>
      </w:r>
      <w:r w:rsidRPr="007A4CD2">
        <w:rPr>
          <w:rStyle w:val="IntenseEmphasis"/>
          <w:rFonts w:cs="Arial"/>
          <w:b w:val="0"/>
        </w:rPr>
        <w:t xml:space="preserve"> $4</w:t>
      </w:r>
      <w:r w:rsidR="007A4CD2" w:rsidRPr="007A4CD2">
        <w:rPr>
          <w:rStyle w:val="IntenseEmphasis"/>
          <w:rFonts w:cs="Arial"/>
          <w:b w:val="0"/>
        </w:rPr>
        <w:t>96,681.81</w:t>
      </w:r>
      <w:r w:rsidRPr="007A4CD2">
        <w:rPr>
          <w:rStyle w:val="IntenseEmphasis"/>
          <w:rFonts w:cs="Arial"/>
          <w:b w:val="0"/>
        </w:rPr>
        <w:t>.</w:t>
      </w:r>
      <w:r w:rsidR="00B85646">
        <w:rPr>
          <w:rStyle w:val="IntenseEmphasis"/>
          <w:rFonts w:cs="Arial"/>
          <w:b w:val="0"/>
        </w:rPr>
        <w:t xml:space="preserve"> This amount will be funded from the Winter Maintenance budget.</w:t>
      </w:r>
    </w:p>
    <w:tbl>
      <w:tblPr>
        <w:tblStyle w:val="TableGrid"/>
        <w:tblW w:w="0" w:type="auto"/>
        <w:tblLook w:val="04A0" w:firstRow="1" w:lastRow="0" w:firstColumn="1" w:lastColumn="0" w:noHBand="0" w:noVBand="1"/>
        <w:tblDescription w:val="Total cost of sand and salt"/>
      </w:tblPr>
      <w:tblGrid>
        <w:gridCol w:w="3096"/>
        <w:gridCol w:w="3127"/>
        <w:gridCol w:w="3127"/>
      </w:tblGrid>
      <w:tr w:rsidR="00866804" w:rsidRPr="007A4CD2" w14:paraId="3E66A5FE" w14:textId="77777777" w:rsidTr="00866804">
        <w:trPr>
          <w:trHeight w:val="367"/>
          <w:tblHeader/>
        </w:trPr>
        <w:tc>
          <w:tcPr>
            <w:tcW w:w="3186" w:type="dxa"/>
          </w:tcPr>
          <w:p w14:paraId="44AC2804" w14:textId="77777777" w:rsidR="00866804" w:rsidRPr="007A4CD2" w:rsidRDefault="006F1E07" w:rsidP="006F1E07">
            <w:pPr>
              <w:spacing w:before="120" w:after="120"/>
              <w:jc w:val="center"/>
              <w:rPr>
                <w:rFonts w:cs="Arial"/>
                <w:b/>
              </w:rPr>
            </w:pPr>
            <w:r w:rsidRPr="007A4CD2">
              <w:rPr>
                <w:rFonts w:cs="Arial"/>
                <w:b/>
              </w:rPr>
              <w:t>Item</w:t>
            </w:r>
          </w:p>
        </w:tc>
        <w:tc>
          <w:tcPr>
            <w:tcW w:w="3195" w:type="dxa"/>
          </w:tcPr>
          <w:p w14:paraId="1B87F706" w14:textId="77777777" w:rsidR="00866804" w:rsidRPr="007A4CD2" w:rsidRDefault="00866804" w:rsidP="006F1E07">
            <w:pPr>
              <w:spacing w:before="120" w:after="120"/>
              <w:jc w:val="center"/>
              <w:rPr>
                <w:rFonts w:cs="Arial"/>
                <w:b/>
              </w:rPr>
            </w:pPr>
            <w:r w:rsidRPr="007A4CD2">
              <w:rPr>
                <w:rFonts w:cs="Arial"/>
                <w:b/>
              </w:rPr>
              <w:t>Tendered Price</w:t>
            </w:r>
          </w:p>
        </w:tc>
        <w:tc>
          <w:tcPr>
            <w:tcW w:w="3195" w:type="dxa"/>
          </w:tcPr>
          <w:p w14:paraId="4A1C654A" w14:textId="77777777" w:rsidR="00866804" w:rsidRPr="007A4CD2" w:rsidRDefault="00866804" w:rsidP="006F1E07">
            <w:pPr>
              <w:spacing w:before="120" w:after="120"/>
              <w:jc w:val="center"/>
              <w:rPr>
                <w:rFonts w:cs="Arial"/>
                <w:b/>
              </w:rPr>
            </w:pPr>
            <w:r w:rsidRPr="007A4CD2">
              <w:rPr>
                <w:rFonts w:cs="Arial"/>
                <w:b/>
              </w:rPr>
              <w:t>Net HST</w:t>
            </w:r>
          </w:p>
        </w:tc>
      </w:tr>
      <w:tr w:rsidR="00866804" w:rsidRPr="007A4CD2" w14:paraId="429FD0C5" w14:textId="77777777" w:rsidTr="00AA4CF2">
        <w:trPr>
          <w:trHeight w:val="367"/>
        </w:trPr>
        <w:tc>
          <w:tcPr>
            <w:tcW w:w="3186" w:type="dxa"/>
          </w:tcPr>
          <w:p w14:paraId="02FAE083" w14:textId="5553EFB9" w:rsidR="00866804" w:rsidRPr="007A4CD2" w:rsidRDefault="00866804" w:rsidP="006F1E07">
            <w:pPr>
              <w:spacing w:before="120" w:after="120"/>
              <w:rPr>
                <w:rFonts w:cs="Arial"/>
              </w:rPr>
            </w:pPr>
            <w:r w:rsidRPr="007A4CD2">
              <w:rPr>
                <w:rFonts w:cs="Arial"/>
              </w:rPr>
              <w:t>Sand (</w:t>
            </w:r>
            <w:r w:rsidR="007A5933" w:rsidRPr="007A4CD2">
              <w:rPr>
                <w:rFonts w:cs="Arial"/>
              </w:rPr>
              <w:t>2</w:t>
            </w:r>
            <w:r w:rsidR="007A5933" w:rsidRPr="007A4CD2">
              <w:t>4,150</w:t>
            </w:r>
            <w:r w:rsidRPr="007A4CD2">
              <w:rPr>
                <w:rFonts w:cs="Arial"/>
              </w:rPr>
              <w:t xml:space="preserve"> tonne)</w:t>
            </w:r>
          </w:p>
        </w:tc>
        <w:tc>
          <w:tcPr>
            <w:tcW w:w="3195" w:type="dxa"/>
          </w:tcPr>
          <w:p w14:paraId="6D83AFE5" w14:textId="4DBD4C64" w:rsidR="00866804" w:rsidRPr="007A4CD2" w:rsidRDefault="007A5933" w:rsidP="006F1E07">
            <w:pPr>
              <w:spacing w:before="120" w:after="120"/>
              <w:jc w:val="center"/>
              <w:rPr>
                <w:rFonts w:cs="Arial"/>
              </w:rPr>
            </w:pPr>
            <w:r w:rsidRPr="007A4CD2">
              <w:rPr>
                <w:rFonts w:cs="Arial"/>
              </w:rPr>
              <w:t>$3</w:t>
            </w:r>
            <w:r w:rsidRPr="007A4CD2">
              <w:t>36,197.50</w:t>
            </w:r>
          </w:p>
        </w:tc>
        <w:tc>
          <w:tcPr>
            <w:tcW w:w="3195" w:type="dxa"/>
            <w:shd w:val="clear" w:color="auto" w:fill="auto"/>
          </w:tcPr>
          <w:p w14:paraId="6FFFC7C5" w14:textId="6ED735AB" w:rsidR="00866804" w:rsidRPr="007A4CD2" w:rsidRDefault="007A5933" w:rsidP="006F1E07">
            <w:pPr>
              <w:spacing w:before="120" w:after="120"/>
              <w:jc w:val="center"/>
              <w:rPr>
                <w:rFonts w:cs="Arial"/>
              </w:rPr>
            </w:pPr>
            <w:r w:rsidRPr="007A4CD2">
              <w:rPr>
                <w:rFonts w:cs="Arial"/>
              </w:rPr>
              <w:t>$</w:t>
            </w:r>
            <w:r w:rsidR="00AA4CF2" w:rsidRPr="007A4CD2">
              <w:rPr>
                <w:rFonts w:cs="Arial"/>
              </w:rPr>
              <w:t>3</w:t>
            </w:r>
            <w:r w:rsidR="00AA4CF2" w:rsidRPr="007A4CD2">
              <w:t>42,114.</w:t>
            </w:r>
            <w:r w:rsidR="00611BA8">
              <w:t>5</w:t>
            </w:r>
            <w:r w:rsidR="00AA4CF2" w:rsidRPr="007A4CD2">
              <w:t>8</w:t>
            </w:r>
          </w:p>
        </w:tc>
      </w:tr>
      <w:tr w:rsidR="00866804" w:rsidRPr="007A4CD2" w14:paraId="483952BC" w14:textId="77777777" w:rsidTr="00866804">
        <w:trPr>
          <w:trHeight w:val="367"/>
        </w:trPr>
        <w:tc>
          <w:tcPr>
            <w:tcW w:w="3186" w:type="dxa"/>
          </w:tcPr>
          <w:p w14:paraId="0818E751" w14:textId="5C661239" w:rsidR="00866804" w:rsidRPr="007A4CD2" w:rsidRDefault="00866804" w:rsidP="006F1E07">
            <w:pPr>
              <w:spacing w:before="120" w:after="120"/>
              <w:rPr>
                <w:rFonts w:cs="Arial"/>
              </w:rPr>
            </w:pPr>
            <w:r w:rsidRPr="007A4CD2">
              <w:rPr>
                <w:rFonts w:cs="Arial"/>
              </w:rPr>
              <w:t>Salt (1,</w:t>
            </w:r>
            <w:r w:rsidR="007A5933" w:rsidRPr="007A4CD2">
              <w:rPr>
                <w:rFonts w:cs="Arial"/>
              </w:rPr>
              <w:t>818</w:t>
            </w:r>
            <w:r w:rsidRPr="007A4CD2">
              <w:rPr>
                <w:rFonts w:cs="Arial"/>
              </w:rPr>
              <w:t xml:space="preserve"> tonne)</w:t>
            </w:r>
          </w:p>
        </w:tc>
        <w:tc>
          <w:tcPr>
            <w:tcW w:w="3195" w:type="dxa"/>
          </w:tcPr>
          <w:p w14:paraId="3E6EC86C" w14:textId="3057D003" w:rsidR="00866804" w:rsidRPr="007A4CD2" w:rsidRDefault="007A5933" w:rsidP="006F1E07">
            <w:pPr>
              <w:spacing w:before="120" w:after="120"/>
              <w:jc w:val="center"/>
              <w:rPr>
                <w:rFonts w:cs="Arial"/>
              </w:rPr>
            </w:pPr>
            <w:r w:rsidRPr="007A4CD2">
              <w:rPr>
                <w:rFonts w:cs="Arial"/>
              </w:rPr>
              <w:t>$</w:t>
            </w:r>
            <w:r w:rsidR="00611BA8">
              <w:rPr>
                <w:rFonts w:cs="Arial"/>
              </w:rPr>
              <w:t>151,888.81</w:t>
            </w:r>
          </w:p>
        </w:tc>
        <w:tc>
          <w:tcPr>
            <w:tcW w:w="3195" w:type="dxa"/>
          </w:tcPr>
          <w:p w14:paraId="3B0BA157" w14:textId="348661E1" w:rsidR="00866804" w:rsidRPr="007A4CD2" w:rsidRDefault="007A5933" w:rsidP="006F1E07">
            <w:pPr>
              <w:spacing w:before="120" w:after="120"/>
              <w:jc w:val="center"/>
              <w:rPr>
                <w:rFonts w:cs="Arial"/>
              </w:rPr>
            </w:pPr>
            <w:r w:rsidRPr="007A4CD2">
              <w:rPr>
                <w:rFonts w:cs="Arial"/>
              </w:rPr>
              <w:t>$</w:t>
            </w:r>
            <w:r w:rsidR="00611BA8">
              <w:rPr>
                <w:rFonts w:cs="Arial"/>
              </w:rPr>
              <w:t>154,569.65</w:t>
            </w:r>
          </w:p>
        </w:tc>
      </w:tr>
      <w:tr w:rsidR="00866804" w:rsidRPr="00B87983" w14:paraId="673FF53D" w14:textId="77777777" w:rsidTr="00866804">
        <w:trPr>
          <w:trHeight w:val="367"/>
        </w:trPr>
        <w:tc>
          <w:tcPr>
            <w:tcW w:w="3186" w:type="dxa"/>
            <w:vAlign w:val="center"/>
          </w:tcPr>
          <w:p w14:paraId="5A27BEC0" w14:textId="77777777" w:rsidR="00866804" w:rsidRPr="007A4CD2" w:rsidRDefault="00866804" w:rsidP="006F1E07">
            <w:pPr>
              <w:spacing w:before="120" w:after="120"/>
              <w:jc w:val="center"/>
              <w:rPr>
                <w:rFonts w:cs="Arial"/>
                <w:b/>
              </w:rPr>
            </w:pPr>
            <w:r w:rsidRPr="007A4CD2">
              <w:rPr>
                <w:rFonts w:cs="Arial"/>
                <w:b/>
              </w:rPr>
              <w:t>TOTAL</w:t>
            </w:r>
          </w:p>
        </w:tc>
        <w:tc>
          <w:tcPr>
            <w:tcW w:w="3195" w:type="dxa"/>
            <w:vAlign w:val="center"/>
          </w:tcPr>
          <w:p w14:paraId="41CDBE64" w14:textId="33D3CBC5" w:rsidR="00866804" w:rsidRPr="007A4CD2" w:rsidRDefault="007A5933" w:rsidP="006F1E07">
            <w:pPr>
              <w:spacing w:before="120" w:after="120"/>
              <w:jc w:val="center"/>
              <w:rPr>
                <w:rFonts w:cs="Arial"/>
                <w:b/>
              </w:rPr>
            </w:pPr>
            <w:r w:rsidRPr="007A4CD2">
              <w:rPr>
                <w:rFonts w:cs="Arial"/>
                <w:b/>
              </w:rPr>
              <w:t>$</w:t>
            </w:r>
            <w:r w:rsidR="00611BA8">
              <w:rPr>
                <w:rFonts w:cs="Arial"/>
                <w:b/>
              </w:rPr>
              <w:t>488,086.31</w:t>
            </w:r>
          </w:p>
        </w:tc>
        <w:tc>
          <w:tcPr>
            <w:tcW w:w="3195" w:type="dxa"/>
            <w:vAlign w:val="center"/>
          </w:tcPr>
          <w:p w14:paraId="0D0DD8B9" w14:textId="7CD390B3" w:rsidR="00866804" w:rsidRPr="007A4CD2" w:rsidRDefault="007A5933" w:rsidP="006F1E07">
            <w:pPr>
              <w:spacing w:before="120" w:after="120"/>
              <w:jc w:val="center"/>
              <w:rPr>
                <w:rFonts w:cs="Arial"/>
                <w:b/>
              </w:rPr>
            </w:pPr>
            <w:r w:rsidRPr="007A4CD2">
              <w:rPr>
                <w:rFonts w:cs="Arial"/>
                <w:b/>
              </w:rPr>
              <w:t>$</w:t>
            </w:r>
            <w:r w:rsidR="00611BA8">
              <w:rPr>
                <w:rFonts w:cs="Arial"/>
                <w:b/>
              </w:rPr>
              <w:t>496,684.23</w:t>
            </w:r>
          </w:p>
        </w:tc>
      </w:tr>
    </w:tbl>
    <w:p w14:paraId="1BB022AB" w14:textId="77777777" w:rsidR="00EF2B1E" w:rsidRPr="00B87983" w:rsidRDefault="00EF2B1E" w:rsidP="006F1E07">
      <w:pPr>
        <w:pStyle w:val="Heading2"/>
        <w:spacing w:before="480"/>
        <w:rPr>
          <w:rStyle w:val="IntenseEmphasis"/>
          <w:rFonts w:cs="Arial"/>
          <w:b w:val="0"/>
        </w:rPr>
      </w:pPr>
      <w:r w:rsidRPr="00B87983">
        <w:rPr>
          <w:rStyle w:val="IntenseEmphasis"/>
          <w:rFonts w:cs="Arial"/>
          <w:b w:val="0"/>
        </w:rPr>
        <w:t>Relevant Consultation</w:t>
      </w:r>
    </w:p>
    <w:p w14:paraId="4F2EB71D" w14:textId="03DEF3B1" w:rsidR="00EF2B1E" w:rsidRPr="007A4CD2" w:rsidRDefault="00083774" w:rsidP="00866804">
      <w:pPr>
        <w:rPr>
          <w:rStyle w:val="IntenseEmphasis"/>
          <w:rFonts w:cs="Arial"/>
          <w:b w:val="0"/>
        </w:rPr>
      </w:pPr>
      <w:sdt>
        <w:sdtPr>
          <w:rPr>
            <w:rFonts w:cs="Arial"/>
            <w:b/>
            <w:bCs/>
          </w:rPr>
          <w:id w:val="-1131168753"/>
          <w14:checkbox>
            <w14:checked w14:val="1"/>
            <w14:checkedState w14:val="2612" w14:font="MS Gothic"/>
            <w14:uncheckedState w14:val="2610" w14:font="MS Gothic"/>
          </w14:checkbox>
        </w:sdtPr>
        <w:sdtEndPr/>
        <w:sdtContent>
          <w:r w:rsidR="00866804" w:rsidRPr="007A4CD2">
            <w:rPr>
              <w:rFonts w:ascii="Segoe UI Symbol" w:eastAsia="MS Gothic" w:hAnsi="Segoe UI Symbol" w:cs="Segoe UI Symbol"/>
            </w:rPr>
            <w:t>☒</w:t>
          </w:r>
        </w:sdtContent>
      </w:sdt>
      <w:r w:rsidR="00866804" w:rsidRPr="007A4CD2">
        <w:rPr>
          <w:rFonts w:cs="Arial"/>
        </w:rPr>
        <w:t xml:space="preserve"> Internal</w:t>
      </w:r>
      <w:r w:rsidR="00866804" w:rsidRPr="007A4CD2">
        <w:rPr>
          <w:rStyle w:val="IntenseEmphasis"/>
          <w:rFonts w:cs="Arial"/>
          <w:b w:val="0"/>
        </w:rPr>
        <w:br/>
        <w:t>Finance Department</w:t>
      </w:r>
    </w:p>
    <w:p w14:paraId="10620312" w14:textId="15FCB2F4" w:rsidR="006A0BE1" w:rsidRPr="00B87983" w:rsidRDefault="00083774" w:rsidP="00866804">
      <w:pPr>
        <w:widowControl w:val="0"/>
        <w:rPr>
          <w:rFonts w:cs="Arial"/>
        </w:rPr>
      </w:pPr>
      <w:sdt>
        <w:sdtPr>
          <w:rPr>
            <w:rFonts w:cs="Arial"/>
          </w:rPr>
          <w:id w:val="-650440191"/>
          <w14:checkbox>
            <w14:checked w14:val="1"/>
            <w14:checkedState w14:val="2612" w14:font="MS Gothic"/>
            <w14:uncheckedState w14:val="2610" w14:font="MS Gothic"/>
          </w14:checkbox>
        </w:sdtPr>
        <w:sdtEndPr/>
        <w:sdtContent>
          <w:r w:rsidR="006A0BE1" w:rsidRPr="007A4CD2">
            <w:rPr>
              <w:rFonts w:ascii="Segoe UI Symbol" w:eastAsia="MS Gothic" w:hAnsi="Segoe UI Symbol" w:cs="Segoe UI Symbol"/>
            </w:rPr>
            <w:t>☒</w:t>
          </w:r>
        </w:sdtContent>
      </w:sdt>
      <w:r w:rsidR="00866804" w:rsidRPr="007A4CD2">
        <w:rPr>
          <w:rFonts w:cs="Arial"/>
        </w:rPr>
        <w:t xml:space="preserve"> External</w:t>
      </w:r>
      <w:r w:rsidR="000A4B51" w:rsidRPr="007A4CD2">
        <w:rPr>
          <w:rFonts w:cs="Arial"/>
        </w:rPr>
        <w:br/>
      </w:r>
      <w:r w:rsidR="006A0BE1" w:rsidRPr="007A4CD2">
        <w:rPr>
          <w:rFonts w:cs="Arial"/>
        </w:rPr>
        <w:t xml:space="preserve">Member </w:t>
      </w:r>
      <w:r w:rsidR="00F33743">
        <w:rPr>
          <w:rFonts w:cs="Arial"/>
        </w:rPr>
        <w:t>M</w:t>
      </w:r>
      <w:r w:rsidR="000A4B51" w:rsidRPr="007A4CD2">
        <w:rPr>
          <w:rFonts w:cs="Arial"/>
        </w:rPr>
        <w:t>unicipalities</w:t>
      </w:r>
    </w:p>
    <w:p w14:paraId="2EBA571E" w14:textId="1A6A0220" w:rsidR="00EF2B1E" w:rsidRPr="00B87983" w:rsidRDefault="00EF2B1E" w:rsidP="009F7C7E">
      <w:pPr>
        <w:pStyle w:val="Heading3"/>
        <w:rPr>
          <w:rStyle w:val="IntenseEmphasis"/>
          <w:b w:val="0"/>
        </w:rPr>
      </w:pPr>
      <w:r w:rsidRPr="00B87983">
        <w:rPr>
          <w:rStyle w:val="IntenseEmphasis"/>
          <w:b w:val="0"/>
        </w:rPr>
        <w:t>Appendices and Attachments</w:t>
      </w:r>
    </w:p>
    <w:p w14:paraId="3DACF157" w14:textId="77777777" w:rsidR="00104C85" w:rsidRPr="00B87983" w:rsidRDefault="006F1E07" w:rsidP="00104C85">
      <w:pPr>
        <w:spacing w:after="0"/>
        <w:rPr>
          <w:rStyle w:val="IntenseEmphasis"/>
          <w:rFonts w:cs="Arial"/>
          <w:b w:val="0"/>
        </w:rPr>
      </w:pPr>
      <w:r w:rsidRPr="00B87983">
        <w:rPr>
          <w:rStyle w:val="IntenseEmphasis"/>
          <w:rFonts w:cs="Arial"/>
          <w:b w:val="0"/>
        </w:rPr>
        <w:t>None</w:t>
      </w:r>
    </w:p>
    <w:sectPr w:rsidR="00104C85" w:rsidRPr="00B87983" w:rsidSect="00F33743">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9C88B" w14:textId="77777777" w:rsidR="00AC1487" w:rsidRDefault="00AC1487" w:rsidP="009F7C7E">
      <w:pPr>
        <w:spacing w:after="0" w:line="240" w:lineRule="auto"/>
      </w:pPr>
      <w:r>
        <w:separator/>
      </w:r>
    </w:p>
  </w:endnote>
  <w:endnote w:type="continuationSeparator" w:id="0">
    <w:p w14:paraId="55EB27AE" w14:textId="77777777" w:rsidR="00AC1487" w:rsidRDefault="00AC1487"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488D" w14:textId="1DC0D866" w:rsidR="009F7C7E" w:rsidRPr="009F7C7E" w:rsidRDefault="00F45020">
    <w:pPr>
      <w:pStyle w:val="Footer"/>
      <w:rPr>
        <w:sz w:val="22"/>
        <w:szCs w:val="22"/>
      </w:rPr>
    </w:pPr>
    <w:r w:rsidRPr="00F45020">
      <w:rPr>
        <w:sz w:val="22"/>
        <w:szCs w:val="22"/>
      </w:rPr>
      <w:t>TR-CW</w:t>
    </w:r>
    <w:r w:rsidR="00866804" w:rsidRPr="00F45020">
      <w:rPr>
        <w:sz w:val="22"/>
        <w:szCs w:val="22"/>
      </w:rPr>
      <w:t>-</w:t>
    </w:r>
    <w:r w:rsidRPr="00F45020">
      <w:rPr>
        <w:sz w:val="22"/>
        <w:szCs w:val="22"/>
      </w:rPr>
      <w:t>12</w:t>
    </w:r>
    <w:r w:rsidR="00866804" w:rsidRPr="00F45020">
      <w:rPr>
        <w:sz w:val="22"/>
        <w:szCs w:val="22"/>
      </w:rPr>
      <w:t>-1</w:t>
    </w:r>
    <w:r w:rsidR="00B06476" w:rsidRPr="00F45020">
      <w:rPr>
        <w:sz w:val="22"/>
        <w:szCs w:val="22"/>
      </w:rPr>
      <w:t>9</w:t>
    </w:r>
    <w:r w:rsidR="00DB2736">
      <w:rPr>
        <w:sz w:val="22"/>
        <w:szCs w:val="22"/>
      </w:rPr>
      <w:tab/>
    </w:r>
    <w:r w:rsidR="00DB2736">
      <w:rPr>
        <w:sz w:val="22"/>
        <w:szCs w:val="22"/>
      </w:rPr>
      <w:tab/>
    </w:r>
    <w:r w:rsidR="00866804">
      <w:rPr>
        <w:sz w:val="22"/>
        <w:szCs w:val="22"/>
      </w:rPr>
      <w:t>June 2</w:t>
    </w:r>
    <w:r w:rsidR="00B06476">
      <w:rPr>
        <w:sz w:val="22"/>
        <w:szCs w:val="22"/>
      </w:rPr>
      <w:t>7</w:t>
    </w:r>
    <w:r w:rsidR="00866804">
      <w:rPr>
        <w:sz w:val="22"/>
        <w:szCs w:val="22"/>
      </w:rPr>
      <w:t>, 201</w:t>
    </w:r>
    <w:r w:rsidR="00B06476">
      <w:rPr>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69FCF" w14:textId="77777777" w:rsidR="00AC1487" w:rsidRDefault="00AC1487" w:rsidP="009F7C7E">
      <w:pPr>
        <w:spacing w:after="0" w:line="240" w:lineRule="auto"/>
      </w:pPr>
      <w:r>
        <w:separator/>
      </w:r>
    </w:p>
  </w:footnote>
  <w:footnote w:type="continuationSeparator" w:id="0">
    <w:p w14:paraId="142609FA" w14:textId="77777777" w:rsidR="00AC1487" w:rsidRDefault="00AC1487" w:rsidP="009F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B0B5" w14:textId="5C332912" w:rsidR="00CC442F" w:rsidRDefault="00CC4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B71D" w14:textId="31BB7833" w:rsidR="00CC442F" w:rsidRDefault="00CC44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FDFF7" w14:textId="28AEFD2B" w:rsidR="00CC442F" w:rsidRDefault="00CC4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D2369"/>
    <w:multiLevelType w:val="hybridMultilevel"/>
    <w:tmpl w:val="44EC8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1E"/>
    <w:rsid w:val="00083774"/>
    <w:rsid w:val="000A4B51"/>
    <w:rsid w:val="000D1A14"/>
    <w:rsid w:val="000E471D"/>
    <w:rsid w:val="00104C85"/>
    <w:rsid w:val="00273C0E"/>
    <w:rsid w:val="00340CC1"/>
    <w:rsid w:val="003A7026"/>
    <w:rsid w:val="003B0A45"/>
    <w:rsid w:val="003E1B7D"/>
    <w:rsid w:val="003F76DE"/>
    <w:rsid w:val="004F4902"/>
    <w:rsid w:val="00575750"/>
    <w:rsid w:val="00611BA8"/>
    <w:rsid w:val="00680BDC"/>
    <w:rsid w:val="006A0BE1"/>
    <w:rsid w:val="006E5715"/>
    <w:rsid w:val="006F1E07"/>
    <w:rsid w:val="007A4CD2"/>
    <w:rsid w:val="007A5933"/>
    <w:rsid w:val="007C015D"/>
    <w:rsid w:val="007C74C5"/>
    <w:rsid w:val="00866804"/>
    <w:rsid w:val="008B4D67"/>
    <w:rsid w:val="008D6B76"/>
    <w:rsid w:val="0090755B"/>
    <w:rsid w:val="00975C1D"/>
    <w:rsid w:val="009F7C7E"/>
    <w:rsid w:val="00AA4CF2"/>
    <w:rsid w:val="00AC1487"/>
    <w:rsid w:val="00B06476"/>
    <w:rsid w:val="00B85646"/>
    <w:rsid w:val="00B87983"/>
    <w:rsid w:val="00B92A55"/>
    <w:rsid w:val="00BB4442"/>
    <w:rsid w:val="00C47E75"/>
    <w:rsid w:val="00CC327E"/>
    <w:rsid w:val="00CC442F"/>
    <w:rsid w:val="00DB2736"/>
    <w:rsid w:val="00DE6785"/>
    <w:rsid w:val="00EA5BF0"/>
    <w:rsid w:val="00EA77DE"/>
    <w:rsid w:val="00ED33B8"/>
    <w:rsid w:val="00EF2B1E"/>
    <w:rsid w:val="00F33743"/>
    <w:rsid w:val="00F36AC7"/>
    <w:rsid w:val="00F45020"/>
    <w:rsid w:val="00F504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6B33D6"/>
  <w15:docId w15:val="{141A2B65-991C-4814-8F7C-FD0370CA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774"/>
    <w:rPr>
      <w:rFonts w:ascii="Arial" w:hAnsi="Arial"/>
      <w:sz w:val="24"/>
      <w:szCs w:val="24"/>
      <w:lang w:val="en-US"/>
    </w:rPr>
  </w:style>
  <w:style w:type="paragraph" w:styleId="Heading1">
    <w:name w:val="heading 1"/>
    <w:basedOn w:val="Normal"/>
    <w:next w:val="Normal"/>
    <w:link w:val="Heading1Char"/>
    <w:uiPriority w:val="9"/>
    <w:qFormat/>
    <w:rsid w:val="00083774"/>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83774"/>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83774"/>
    <w:pPr>
      <w:outlineLvl w:val="2"/>
    </w:pPr>
    <w:rPr>
      <w:rFonts w:cs="Arial"/>
      <w:i w:val="0"/>
    </w:rPr>
  </w:style>
  <w:style w:type="paragraph" w:styleId="Heading4">
    <w:name w:val="heading 4"/>
    <w:basedOn w:val="Normal"/>
    <w:next w:val="Normal"/>
    <w:link w:val="Heading4Char"/>
    <w:uiPriority w:val="9"/>
    <w:unhideWhenUsed/>
    <w:qFormat/>
    <w:rsid w:val="00083774"/>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83774"/>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83774"/>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83774"/>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83774"/>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83774"/>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837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3774"/>
  </w:style>
  <w:style w:type="character" w:customStyle="1" w:styleId="Heading1Char">
    <w:name w:val="Heading 1 Char"/>
    <w:basedOn w:val="DefaultParagraphFont"/>
    <w:link w:val="Heading1"/>
    <w:uiPriority w:val="9"/>
    <w:rsid w:val="00083774"/>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083774"/>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083774"/>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083774"/>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083774"/>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083774"/>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083774"/>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083774"/>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083774"/>
    <w:rPr>
      <w:rFonts w:ascii="Arial" w:eastAsiaTheme="majorEastAsia" w:hAnsi="Arial" w:cstheme="majorBidi"/>
      <w:i/>
      <w:iCs/>
      <w:sz w:val="24"/>
      <w:lang w:val="en-US"/>
    </w:rPr>
  </w:style>
  <w:style w:type="paragraph" w:styleId="Title">
    <w:name w:val="Title"/>
    <w:basedOn w:val="Normal"/>
    <w:next w:val="Normal"/>
    <w:link w:val="TitleChar"/>
    <w:uiPriority w:val="9"/>
    <w:qFormat/>
    <w:rsid w:val="00083774"/>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83774"/>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08377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83774"/>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083774"/>
    <w:rPr>
      <w:rFonts w:ascii="Arial" w:hAnsi="Arial"/>
      <w:b/>
      <w:bCs/>
    </w:rPr>
  </w:style>
  <w:style w:type="character" w:styleId="Emphasis">
    <w:name w:val="Emphasis"/>
    <w:basedOn w:val="DefaultParagraphFont"/>
    <w:uiPriority w:val="20"/>
    <w:qFormat/>
    <w:rsid w:val="00083774"/>
    <w:rPr>
      <w:rFonts w:ascii="Arial" w:hAnsi="Arial"/>
      <w:i/>
      <w:iCs/>
    </w:rPr>
  </w:style>
  <w:style w:type="paragraph" w:styleId="NoSpacing">
    <w:name w:val="No Spacing"/>
    <w:uiPriority w:val="1"/>
    <w:qFormat/>
    <w:rsid w:val="00083774"/>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083774"/>
    <w:pPr>
      <w:ind w:left="720"/>
      <w:contextualSpacing/>
    </w:pPr>
  </w:style>
  <w:style w:type="paragraph" w:styleId="Quote">
    <w:name w:val="Quote"/>
    <w:basedOn w:val="Normal"/>
    <w:next w:val="Normal"/>
    <w:link w:val="QuoteChar"/>
    <w:uiPriority w:val="29"/>
    <w:qFormat/>
    <w:rsid w:val="00083774"/>
    <w:rPr>
      <w:i/>
      <w:iCs/>
      <w:color w:val="000000" w:themeColor="text1"/>
    </w:rPr>
  </w:style>
  <w:style w:type="character" w:customStyle="1" w:styleId="QuoteChar">
    <w:name w:val="Quote Char"/>
    <w:basedOn w:val="DefaultParagraphFont"/>
    <w:link w:val="Quote"/>
    <w:uiPriority w:val="29"/>
    <w:rsid w:val="00083774"/>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083774"/>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83774"/>
    <w:rPr>
      <w:rFonts w:ascii="Arial" w:hAnsi="Arial"/>
      <w:b/>
      <w:bCs/>
      <w:i/>
      <w:iCs/>
      <w:sz w:val="24"/>
      <w:szCs w:val="24"/>
      <w:lang w:val="en-US"/>
    </w:rPr>
  </w:style>
  <w:style w:type="character" w:styleId="SubtleEmphasis">
    <w:name w:val="Subtle Emphasis"/>
    <w:basedOn w:val="DefaultParagraphFont"/>
    <w:uiPriority w:val="19"/>
    <w:qFormat/>
    <w:rsid w:val="00083774"/>
    <w:rPr>
      <w:rFonts w:ascii="Arial" w:hAnsi="Arial"/>
      <w:i/>
      <w:iCs/>
      <w:color w:val="808080" w:themeColor="text1" w:themeTint="7F"/>
    </w:rPr>
  </w:style>
  <w:style w:type="character" w:styleId="IntenseEmphasis">
    <w:name w:val="Intense Emphasis"/>
    <w:basedOn w:val="DefaultParagraphFont"/>
    <w:uiPriority w:val="21"/>
    <w:qFormat/>
    <w:rsid w:val="00083774"/>
    <w:rPr>
      <w:rFonts w:ascii="Arial" w:hAnsi="Arial"/>
      <w:b/>
      <w:bCs/>
    </w:rPr>
  </w:style>
  <w:style w:type="character" w:styleId="SubtleReference">
    <w:name w:val="Subtle Reference"/>
    <w:basedOn w:val="DefaultParagraphFont"/>
    <w:uiPriority w:val="31"/>
    <w:qFormat/>
    <w:rsid w:val="00083774"/>
    <w:rPr>
      <w:rFonts w:ascii="Arial" w:hAnsi="Arial"/>
      <w:smallCaps/>
      <w:color w:val="C0504D" w:themeColor="accent2"/>
      <w:u w:val="single"/>
    </w:rPr>
  </w:style>
  <w:style w:type="character" w:styleId="IntenseReference">
    <w:name w:val="Intense Reference"/>
    <w:basedOn w:val="DefaultParagraphFont"/>
    <w:uiPriority w:val="32"/>
    <w:qFormat/>
    <w:rsid w:val="00083774"/>
    <w:rPr>
      <w:b/>
      <w:bCs/>
      <w:smallCaps/>
      <w:color w:val="C0504D" w:themeColor="accent2"/>
      <w:spacing w:val="5"/>
      <w:u w:val="single"/>
    </w:rPr>
  </w:style>
  <w:style w:type="character" w:styleId="BookTitle">
    <w:name w:val="Book Title"/>
    <w:basedOn w:val="DefaultParagraphFont"/>
    <w:uiPriority w:val="33"/>
    <w:qFormat/>
    <w:rsid w:val="00083774"/>
    <w:rPr>
      <w:b/>
      <w:bCs/>
      <w:smallCaps/>
      <w:spacing w:val="5"/>
    </w:rPr>
  </w:style>
  <w:style w:type="character" w:styleId="Hyperlink">
    <w:name w:val="Hyperlink"/>
    <w:basedOn w:val="DefaultParagraphFont"/>
    <w:uiPriority w:val="99"/>
    <w:unhideWhenUsed/>
    <w:rsid w:val="00083774"/>
    <w:rPr>
      <w:color w:val="0000FF" w:themeColor="hyperlink"/>
      <w:u w:val="single"/>
    </w:rPr>
  </w:style>
  <w:style w:type="character" w:styleId="FollowedHyperlink">
    <w:name w:val="FollowedHyperlink"/>
    <w:basedOn w:val="DefaultParagraphFont"/>
    <w:uiPriority w:val="99"/>
    <w:semiHidden/>
    <w:unhideWhenUsed/>
    <w:rsid w:val="00083774"/>
    <w:rPr>
      <w:color w:val="800080" w:themeColor="followedHyperlink"/>
      <w:u w:val="single"/>
    </w:rPr>
  </w:style>
  <w:style w:type="paragraph" w:customStyle="1" w:styleId="AppleFill">
    <w:name w:val="Apple Fill"/>
    <w:basedOn w:val="Normal"/>
    <w:link w:val="AppleFillChar"/>
    <w:uiPriority w:val="10"/>
    <w:qFormat/>
    <w:rsid w:val="00083774"/>
    <w:rPr>
      <w:b/>
      <w:color w:val="FFFFFF" w:themeColor="background1"/>
      <w:shd w:val="clear" w:color="auto" w:fill="9BBB59" w:themeFill="accent3"/>
    </w:rPr>
  </w:style>
  <w:style w:type="paragraph" w:customStyle="1" w:styleId="AquaFill">
    <w:name w:val="Aqua Fill"/>
    <w:basedOn w:val="Normal"/>
    <w:link w:val="AquaFillChar"/>
    <w:uiPriority w:val="10"/>
    <w:qFormat/>
    <w:rsid w:val="00083774"/>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83774"/>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083774"/>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83774"/>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083774"/>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2019</Year>
    <originator xmlns="e6cd7bd4-3f3e-4495-b8c9-139289cd76e6" xsi:nil="true"/>
    <policyNumber xmlns="e6cd7bd4-3f3e-4495-b8c9-139289cd76e6" xsi:nil="true"/>
    <documentNumber xmlns="e6cd7bd4-3f3e-4495-b8c9-139289cd76e6">GC_110953367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[2019-06-27 Committee of the Whole [7200]]</meetingId>
    <capitalProjectPriority xmlns="e6cd7bd4-3f3e-4495-b8c9-139289cd76e6" xsi:nil="true"/>
    <policyApprovalDate xmlns="e6cd7bd4-3f3e-4495-b8c9-139289cd76e6" xsi:nil="true"/>
    <NodeRef xmlns="e6cd7bd4-3f3e-4495-b8c9-139289cd76e6">56fd1e03-99a5-4ba2-bb47-f64ff5585b3e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32DE28F3-87B6-4AB7-ACFC-B457392660F1}">
  <ds:schemaRefs>
    <ds:schemaRef ds:uri="http://schemas.openxmlformats.org/officeDocument/2006/bibliography"/>
  </ds:schemaRefs>
</ds:datastoreItem>
</file>

<file path=customXml/itemProps2.xml><?xml version="1.0" encoding="utf-8"?>
<ds:datastoreItem xmlns:ds="http://schemas.openxmlformats.org/officeDocument/2006/customXml" ds:itemID="{98CEC1C7-F6A7-4F50-9CD1-0260B5E95782}"/>
</file>

<file path=customXml/itemProps3.xml><?xml version="1.0" encoding="utf-8"?>
<ds:datastoreItem xmlns:ds="http://schemas.openxmlformats.org/officeDocument/2006/customXml" ds:itemID="{4B8426A3-15A0-4093-85F6-A19AEE037238}"/>
</file>

<file path=customXml/itemProps4.xml><?xml version="1.0" encoding="utf-8"?>
<ds:datastoreItem xmlns:ds="http://schemas.openxmlformats.org/officeDocument/2006/customXml" ds:itemID="{F26D9A99-CB88-4F39-A6D4-BB3022D56E23}"/>
</file>

<file path=customXml/itemProps5.xml><?xml version="1.0" encoding="utf-8"?>
<ds:datastoreItem xmlns:ds="http://schemas.openxmlformats.org/officeDocument/2006/customXml" ds:itemID="{EAE013CA-31E9-4D50-A7FF-FEF14DF4977D}"/>
</file>

<file path=docProps/app.xml><?xml version="1.0" encoding="utf-8"?>
<Properties xmlns="http://schemas.openxmlformats.org/officeDocument/2006/extended-properties" xmlns:vt="http://schemas.openxmlformats.org/officeDocument/2006/docPropsVTypes">
  <Template>Normal</Template>
  <TotalTime>209</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18</cp:revision>
  <cp:lastPrinted>2019-06-13T16:44:00Z</cp:lastPrinted>
  <dcterms:created xsi:type="dcterms:W3CDTF">2019-06-11T19:09:00Z</dcterms:created>
  <dcterms:modified xsi:type="dcterms:W3CDTF">2019-07-19T15:38:00Z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