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5E1961">
        <w:t>PDR</w:t>
      </w:r>
      <w:r w:rsidRPr="00FB686F">
        <w:t>-</w:t>
      </w:r>
      <w:r w:rsidR="005E1961">
        <w:t>PCD</w:t>
      </w:r>
      <w:r w:rsidR="00A607A3">
        <w:t>-</w:t>
      </w:r>
      <w:r w:rsidR="00E610EF">
        <w:t>22</w:t>
      </w:r>
      <w:r w:rsidR="00A607A3">
        <w:t>-</w:t>
      </w:r>
      <w:r w:rsidR="005E1961">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5E1961">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5E1961">
        <w:t>Randy Scherzer, Director of Planning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5E1961">
        <w:t>June 17,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5E1961">
        <w:rPr>
          <w:rStyle w:val="Strong"/>
        </w:rPr>
        <w:t>First Nations/Six Nations – Land Claims and Consultation Protocol</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2A14DB">
        <w:t>Recommendation adopted by Committee as presented per Resolution PCD75-14;</w:t>
      </w:r>
      <w:r w:rsidR="005A4671">
        <w:t xml:space="preserve"> Endorsed by County Council July 8, 2014 per Resolution CC90-14;</w:t>
      </w:r>
      <w:bookmarkStart w:id="0" w:name="_GoBack"/>
      <w:bookmarkEnd w:id="0"/>
    </w:p>
    <w:p w:rsidR="00AC3A8B" w:rsidRPr="00FB686F" w:rsidRDefault="00AC3A8B" w:rsidP="00AC3A8B">
      <w:pPr>
        <w:pStyle w:val="Heading2"/>
      </w:pPr>
      <w:r w:rsidRPr="00FB686F">
        <w:t>Recommendation(s)</w:t>
      </w:r>
    </w:p>
    <w:p w:rsidR="00AC3A8B" w:rsidRDefault="005E1961" w:rsidP="00AC3A8B">
      <w:pPr>
        <w:rPr>
          <w:b/>
        </w:rPr>
      </w:pPr>
      <w:r>
        <w:rPr>
          <w:b/>
        </w:rPr>
        <w:t xml:space="preserve">WHEREAS Council directed staff </w:t>
      </w:r>
      <w:r w:rsidR="000F7A9A">
        <w:rPr>
          <w:b/>
        </w:rPr>
        <w:t xml:space="preserve">at the May 6, 2014 Council meeting </w:t>
      </w:r>
      <w:r>
        <w:rPr>
          <w:b/>
        </w:rPr>
        <w:t xml:space="preserve">to prepare a report regarding </w:t>
      </w:r>
      <w:r w:rsidR="000F7A9A">
        <w:rPr>
          <w:b/>
        </w:rPr>
        <w:t xml:space="preserve">the request from </w:t>
      </w:r>
      <w:r w:rsidR="00FE4C64">
        <w:rPr>
          <w:b/>
        </w:rPr>
        <w:t xml:space="preserve">the </w:t>
      </w:r>
      <w:r>
        <w:rPr>
          <w:b/>
        </w:rPr>
        <w:t>Six Nations</w:t>
      </w:r>
      <w:r w:rsidR="00FE4C64">
        <w:rPr>
          <w:b/>
        </w:rPr>
        <w:t xml:space="preserve"> of the Grand River</w:t>
      </w:r>
      <w:r>
        <w:rPr>
          <w:b/>
        </w:rPr>
        <w:t xml:space="preserve"> </w:t>
      </w:r>
      <w:r w:rsidR="000F7A9A">
        <w:rPr>
          <w:b/>
        </w:rPr>
        <w:t xml:space="preserve">to </w:t>
      </w:r>
      <w:r w:rsidR="00712116">
        <w:rPr>
          <w:b/>
        </w:rPr>
        <w:t xml:space="preserve">support </w:t>
      </w:r>
      <w:r w:rsidR="000F7A9A">
        <w:rPr>
          <w:b/>
        </w:rPr>
        <w:t xml:space="preserve">their </w:t>
      </w:r>
      <w:r w:rsidR="00712116">
        <w:rPr>
          <w:b/>
        </w:rPr>
        <w:t>pursuit</w:t>
      </w:r>
      <w:r>
        <w:rPr>
          <w:b/>
        </w:rPr>
        <w:t xml:space="preserve"> for provincial and federal </w:t>
      </w:r>
      <w:r w:rsidR="000F7A9A">
        <w:rPr>
          <w:b/>
        </w:rPr>
        <w:t>support</w:t>
      </w:r>
      <w:r>
        <w:rPr>
          <w:b/>
        </w:rPr>
        <w:t xml:space="preserve"> to resolve outstanding matters related to land claim disputes;</w:t>
      </w:r>
    </w:p>
    <w:p w:rsidR="005E1961" w:rsidRDefault="005E1961" w:rsidP="00AC3A8B">
      <w:pPr>
        <w:rPr>
          <w:b/>
        </w:rPr>
      </w:pPr>
      <w:r>
        <w:rPr>
          <w:b/>
        </w:rPr>
        <w:t xml:space="preserve">AND WHEREAS there are many outstanding First </w:t>
      </w:r>
      <w:r w:rsidR="00FE4C64">
        <w:rPr>
          <w:b/>
        </w:rPr>
        <w:t>Nations</w:t>
      </w:r>
      <w:r>
        <w:rPr>
          <w:b/>
        </w:rPr>
        <w:t xml:space="preserve"> land claim disputes throughout the Province of Ontario, including </w:t>
      </w:r>
      <w:r w:rsidR="00FE4C64">
        <w:rPr>
          <w:b/>
        </w:rPr>
        <w:t xml:space="preserve">the land claims of the </w:t>
      </w:r>
      <w:proofErr w:type="spellStart"/>
      <w:r w:rsidR="00FE4C64">
        <w:rPr>
          <w:b/>
        </w:rPr>
        <w:t>Saugeen</w:t>
      </w:r>
      <w:proofErr w:type="spellEnd"/>
      <w:r w:rsidR="00FE4C64">
        <w:rPr>
          <w:b/>
        </w:rPr>
        <w:t xml:space="preserve"> </w:t>
      </w:r>
      <w:proofErr w:type="spellStart"/>
      <w:r w:rsidR="00FE4C64">
        <w:rPr>
          <w:b/>
        </w:rPr>
        <w:t>Ojibway</w:t>
      </w:r>
      <w:proofErr w:type="spellEnd"/>
      <w:r w:rsidR="00FE4C64">
        <w:rPr>
          <w:b/>
        </w:rPr>
        <w:t xml:space="preserve"> Nation and the Six Nations of the Grand River </w:t>
      </w:r>
      <w:r>
        <w:rPr>
          <w:b/>
        </w:rPr>
        <w:t>within Grey County;</w:t>
      </w:r>
    </w:p>
    <w:p w:rsidR="005E1961" w:rsidRDefault="00300F49" w:rsidP="00AC3A8B">
      <w:pPr>
        <w:rPr>
          <w:b/>
        </w:rPr>
      </w:pPr>
      <w:r>
        <w:rPr>
          <w:b/>
        </w:rPr>
        <w:t>AND WHEREAS the</w:t>
      </w:r>
      <w:r w:rsidR="005E1961">
        <w:rPr>
          <w:b/>
        </w:rPr>
        <w:t xml:space="preserve"> unresolved land claim disputes provides uncertainty for developers and can lead to potential delays in the processing of </w:t>
      </w:r>
      <w:r w:rsidR="00FE4C64">
        <w:rPr>
          <w:b/>
        </w:rPr>
        <w:t>development</w:t>
      </w:r>
      <w:r w:rsidR="005E1961">
        <w:rPr>
          <w:b/>
        </w:rPr>
        <w:t xml:space="preserve"> applications;</w:t>
      </w:r>
    </w:p>
    <w:p w:rsidR="005E1961" w:rsidRDefault="005E1961" w:rsidP="00AC3A8B">
      <w:pPr>
        <w:rPr>
          <w:b/>
        </w:rPr>
      </w:pPr>
      <w:r>
        <w:rPr>
          <w:b/>
        </w:rPr>
        <w:t xml:space="preserve">AND WHEREAS </w:t>
      </w:r>
      <w:r w:rsidR="00300F49">
        <w:rPr>
          <w:b/>
        </w:rPr>
        <w:t>a</w:t>
      </w:r>
      <w:r>
        <w:rPr>
          <w:b/>
        </w:rPr>
        <w:t xml:space="preserve"> Supreme Court of Canada Decision </w:t>
      </w:r>
      <w:r w:rsidR="00300F49">
        <w:rPr>
          <w:b/>
        </w:rPr>
        <w:t>indicates that the d</w:t>
      </w:r>
      <w:r>
        <w:rPr>
          <w:b/>
        </w:rPr>
        <w:t xml:space="preserve">uty to </w:t>
      </w:r>
      <w:r w:rsidR="00300F49">
        <w:rPr>
          <w:b/>
        </w:rPr>
        <w:t>c</w:t>
      </w:r>
      <w:r>
        <w:rPr>
          <w:b/>
        </w:rPr>
        <w:t xml:space="preserve">onsult and </w:t>
      </w:r>
      <w:r w:rsidR="00300F49">
        <w:rPr>
          <w:b/>
        </w:rPr>
        <w:t>a</w:t>
      </w:r>
      <w:r>
        <w:rPr>
          <w:b/>
        </w:rPr>
        <w:t xml:space="preserve">ccommodate </w:t>
      </w:r>
      <w:r w:rsidR="00300F49">
        <w:rPr>
          <w:b/>
        </w:rPr>
        <w:t xml:space="preserve">with Aboriginal communities </w:t>
      </w:r>
      <w:r>
        <w:rPr>
          <w:b/>
        </w:rPr>
        <w:t>rests with the Crown;</w:t>
      </w:r>
    </w:p>
    <w:p w:rsidR="005E1961" w:rsidRDefault="005E1961" w:rsidP="00AC3A8B">
      <w:pPr>
        <w:rPr>
          <w:b/>
        </w:rPr>
      </w:pPr>
      <w:r>
        <w:rPr>
          <w:b/>
        </w:rPr>
        <w:t>NOW THEREFORE BE IT RESOLVED THAT Report PDR-PCD-</w:t>
      </w:r>
      <w:r w:rsidR="00E610EF">
        <w:rPr>
          <w:b/>
        </w:rPr>
        <w:t>22</w:t>
      </w:r>
      <w:r>
        <w:rPr>
          <w:b/>
        </w:rPr>
        <w:t xml:space="preserve">-14 </w:t>
      </w:r>
      <w:proofErr w:type="gramStart"/>
      <w:r>
        <w:rPr>
          <w:b/>
        </w:rPr>
        <w:t>be</w:t>
      </w:r>
      <w:proofErr w:type="gramEnd"/>
      <w:r>
        <w:rPr>
          <w:b/>
        </w:rPr>
        <w:t xml:space="preserve"> received;</w:t>
      </w:r>
    </w:p>
    <w:p w:rsidR="005E1961" w:rsidRDefault="005E1961" w:rsidP="00AC3A8B">
      <w:pPr>
        <w:rPr>
          <w:b/>
        </w:rPr>
      </w:pPr>
      <w:r>
        <w:rPr>
          <w:b/>
        </w:rPr>
        <w:t xml:space="preserve">AND THAT it be recommended that the Warden write a letter to </w:t>
      </w:r>
      <w:r w:rsidR="00300F49">
        <w:rPr>
          <w:b/>
        </w:rPr>
        <w:t xml:space="preserve">the </w:t>
      </w:r>
      <w:r>
        <w:rPr>
          <w:b/>
        </w:rPr>
        <w:t>Fe</w:t>
      </w:r>
      <w:r w:rsidR="006915DD">
        <w:rPr>
          <w:b/>
        </w:rPr>
        <w:t xml:space="preserve">deral and Provincial Government </w:t>
      </w:r>
      <w:r>
        <w:rPr>
          <w:b/>
        </w:rPr>
        <w:t>encouraging</w:t>
      </w:r>
      <w:r w:rsidR="006915DD">
        <w:rPr>
          <w:b/>
        </w:rPr>
        <w:t xml:space="preserve"> them to engage in consultation with </w:t>
      </w:r>
      <w:r w:rsidR="00FE4C64">
        <w:rPr>
          <w:b/>
        </w:rPr>
        <w:t xml:space="preserve">the leaders of the </w:t>
      </w:r>
      <w:proofErr w:type="spellStart"/>
      <w:r w:rsidR="00FE4C64">
        <w:rPr>
          <w:b/>
        </w:rPr>
        <w:t>Saugeen</w:t>
      </w:r>
      <w:proofErr w:type="spellEnd"/>
      <w:r w:rsidR="00FE4C64">
        <w:rPr>
          <w:b/>
        </w:rPr>
        <w:t xml:space="preserve"> </w:t>
      </w:r>
      <w:proofErr w:type="spellStart"/>
      <w:r w:rsidR="00FE4C64">
        <w:rPr>
          <w:b/>
        </w:rPr>
        <w:t>Ojibway</w:t>
      </w:r>
      <w:proofErr w:type="spellEnd"/>
      <w:r w:rsidR="00FE4C64">
        <w:rPr>
          <w:b/>
        </w:rPr>
        <w:t xml:space="preserve"> Nation </w:t>
      </w:r>
      <w:r w:rsidR="006915DD">
        <w:rPr>
          <w:b/>
        </w:rPr>
        <w:t xml:space="preserve">and </w:t>
      </w:r>
      <w:r w:rsidR="00FE4C64">
        <w:rPr>
          <w:b/>
        </w:rPr>
        <w:t xml:space="preserve">the </w:t>
      </w:r>
      <w:r w:rsidR="006915DD">
        <w:rPr>
          <w:b/>
        </w:rPr>
        <w:t>Six Nations</w:t>
      </w:r>
      <w:r w:rsidR="00FE4C64">
        <w:rPr>
          <w:b/>
        </w:rPr>
        <w:t xml:space="preserve"> of the Grand River</w:t>
      </w:r>
      <w:r w:rsidR="006915DD">
        <w:rPr>
          <w:b/>
        </w:rPr>
        <w:t xml:space="preserve"> to work towards a resolution of the outstanding land claim issues</w:t>
      </w:r>
      <w:r w:rsidR="00E335F2">
        <w:rPr>
          <w:b/>
        </w:rPr>
        <w:t xml:space="preserve"> and to provide </w:t>
      </w:r>
      <w:r w:rsidR="0033664C">
        <w:rPr>
          <w:b/>
        </w:rPr>
        <w:t>support</w:t>
      </w:r>
      <w:r w:rsidR="00E335F2">
        <w:rPr>
          <w:b/>
        </w:rPr>
        <w:t xml:space="preserve"> and guidance on matters related to the duty to consult</w:t>
      </w:r>
      <w:r w:rsidR="006915DD">
        <w:rPr>
          <w:b/>
        </w:rPr>
        <w:t>;</w:t>
      </w:r>
    </w:p>
    <w:p w:rsidR="00300F49" w:rsidRDefault="006915DD" w:rsidP="00AC3A8B">
      <w:pPr>
        <w:rPr>
          <w:b/>
        </w:rPr>
      </w:pPr>
      <w:r>
        <w:rPr>
          <w:b/>
        </w:rPr>
        <w:lastRenderedPageBreak/>
        <w:t xml:space="preserve">AND FURTHER THAT staff be directed in the interim to continue to have discussions with </w:t>
      </w:r>
      <w:proofErr w:type="spellStart"/>
      <w:r w:rsidR="00FE4C64">
        <w:rPr>
          <w:b/>
        </w:rPr>
        <w:t>Saugeen</w:t>
      </w:r>
      <w:proofErr w:type="spellEnd"/>
      <w:r w:rsidR="00FE4C64">
        <w:rPr>
          <w:b/>
        </w:rPr>
        <w:t xml:space="preserve"> </w:t>
      </w:r>
      <w:proofErr w:type="spellStart"/>
      <w:r w:rsidR="00FE4C64">
        <w:rPr>
          <w:b/>
        </w:rPr>
        <w:t>Ojibway</w:t>
      </w:r>
      <w:proofErr w:type="spellEnd"/>
      <w:r w:rsidR="00FE4C64">
        <w:rPr>
          <w:b/>
        </w:rPr>
        <w:t xml:space="preserve"> Nation</w:t>
      </w:r>
      <w:r>
        <w:rPr>
          <w:b/>
        </w:rPr>
        <w:t xml:space="preserve">, </w:t>
      </w:r>
      <w:r w:rsidR="00FE4C64">
        <w:rPr>
          <w:b/>
        </w:rPr>
        <w:t xml:space="preserve">the </w:t>
      </w:r>
      <w:r>
        <w:rPr>
          <w:b/>
        </w:rPr>
        <w:t>Six Nations</w:t>
      </w:r>
      <w:r w:rsidR="00FE4C64">
        <w:rPr>
          <w:b/>
        </w:rPr>
        <w:t xml:space="preserve"> of the Grand River,</w:t>
      </w:r>
      <w:r>
        <w:rPr>
          <w:b/>
        </w:rPr>
        <w:t xml:space="preserve"> and Metis </w:t>
      </w:r>
      <w:r w:rsidR="00300F49">
        <w:rPr>
          <w:b/>
        </w:rPr>
        <w:t>to develop consultation protocols in order to establish a process and mechanism to ensure appropriate and adequate consultation with Aboriginal communities.</w:t>
      </w:r>
    </w:p>
    <w:p w:rsidR="00AC3A8B" w:rsidRDefault="00AC3A8B" w:rsidP="00AC3A8B">
      <w:pPr>
        <w:pStyle w:val="Heading2"/>
      </w:pPr>
      <w:r w:rsidRPr="00B0378D">
        <w:t>Background</w:t>
      </w:r>
    </w:p>
    <w:p w:rsidR="00AC3A8B" w:rsidRDefault="00E5286E" w:rsidP="00AC3A8B">
      <w:r>
        <w:t xml:space="preserve">On May 6, 2014, County Council directed staff to prepare a report regarding the consideration </w:t>
      </w:r>
      <w:r w:rsidR="005D7D07">
        <w:t xml:space="preserve">for supporting </w:t>
      </w:r>
      <w:r w:rsidR="00FE4C64">
        <w:t xml:space="preserve">the </w:t>
      </w:r>
      <w:r w:rsidR="005D7D07">
        <w:t>Six Nations</w:t>
      </w:r>
      <w:r w:rsidR="00FE4C64">
        <w:t xml:space="preserve"> of the Grand River (Six Nations)</w:t>
      </w:r>
      <w:r w:rsidR="005D7D07">
        <w:t xml:space="preserve"> in their </w:t>
      </w:r>
      <w:r w:rsidR="00712116">
        <w:t>pursuit</w:t>
      </w:r>
      <w:r w:rsidR="005D7D07">
        <w:t xml:space="preserve"> for provincial and federal support to resolve outstanding matters related to land claim disputes.  There are many outstanding </w:t>
      </w:r>
      <w:r w:rsidR="00FE4C64">
        <w:t>First Nations</w:t>
      </w:r>
      <w:r w:rsidR="005D7D07">
        <w:t xml:space="preserve"> land disputes through</w:t>
      </w:r>
      <w:r w:rsidR="001D40AD">
        <w:t>out</w:t>
      </w:r>
      <w:r w:rsidR="005D7D07">
        <w:t xml:space="preserve"> the Province of Ontario </w:t>
      </w:r>
      <w:r w:rsidR="00300F49">
        <w:t>most of which</w:t>
      </w:r>
      <w:r w:rsidR="005D7D07">
        <w:t xml:space="preserve"> are currently before the </w:t>
      </w:r>
      <w:r w:rsidR="00FE4C64">
        <w:t>c</w:t>
      </w:r>
      <w:r w:rsidR="005D7D07">
        <w:t xml:space="preserve">ourts.  The County of Grey is involved in </w:t>
      </w:r>
      <w:r w:rsidR="00FE4C64">
        <w:t>the</w:t>
      </w:r>
      <w:r w:rsidR="005D7D07">
        <w:t xml:space="preserve"> </w:t>
      </w:r>
      <w:proofErr w:type="spellStart"/>
      <w:r w:rsidR="005D7D07">
        <w:t>Saugeen</w:t>
      </w:r>
      <w:proofErr w:type="spellEnd"/>
      <w:r w:rsidR="005D7D07">
        <w:t xml:space="preserve"> </w:t>
      </w:r>
      <w:proofErr w:type="spellStart"/>
      <w:r w:rsidR="005D7D07">
        <w:t>Ojibway</w:t>
      </w:r>
      <w:proofErr w:type="spellEnd"/>
      <w:r w:rsidR="005D7D07">
        <w:t xml:space="preserve"> Nation (SON) land claim dispute that is </w:t>
      </w:r>
      <w:r w:rsidR="00FE4C64">
        <w:t xml:space="preserve">currently </w:t>
      </w:r>
      <w:r w:rsidR="005D7D07">
        <w:t>before the courts.</w:t>
      </w:r>
    </w:p>
    <w:p w:rsidR="005D7D07" w:rsidRDefault="005D7D07" w:rsidP="00AC3A8B">
      <w:r>
        <w:t xml:space="preserve">In 2004, the Supreme Court of Canada </w:t>
      </w:r>
      <w:r w:rsidR="004E77C9">
        <w:t xml:space="preserve">provided a decision related to the </w:t>
      </w:r>
      <w:proofErr w:type="spellStart"/>
      <w:r w:rsidR="004E77C9">
        <w:t>Haida</w:t>
      </w:r>
      <w:proofErr w:type="spellEnd"/>
      <w:r w:rsidR="004E77C9">
        <w:t xml:space="preserve"> Nation and </w:t>
      </w:r>
      <w:proofErr w:type="spellStart"/>
      <w:r w:rsidR="004E77C9">
        <w:t>Taku</w:t>
      </w:r>
      <w:proofErr w:type="spellEnd"/>
      <w:r w:rsidR="004E77C9">
        <w:t xml:space="preserve"> River cases indicat</w:t>
      </w:r>
      <w:r w:rsidR="001D40AD">
        <w:t>ing</w:t>
      </w:r>
      <w:r w:rsidR="004E77C9">
        <w:t xml:space="preserve"> that the Crown has a </w:t>
      </w:r>
      <w:r w:rsidR="00300F49">
        <w:t>d</w:t>
      </w:r>
      <w:r w:rsidR="004E77C9">
        <w:t xml:space="preserve">uty to consult Aboriginal people before making a decision that may infringe upon unproven Aboriginal rights (e.g. </w:t>
      </w:r>
      <w:r w:rsidR="00300F49">
        <w:t xml:space="preserve">unresolved land claim disputes).  The Supreme Court of </w:t>
      </w:r>
      <w:r w:rsidR="00712116">
        <w:t xml:space="preserve">Canada </w:t>
      </w:r>
      <w:r w:rsidR="00300F49">
        <w:t xml:space="preserve">decision also notes that there may be the </w:t>
      </w:r>
      <w:r w:rsidR="004E77C9">
        <w:t xml:space="preserve">potential need to accommodate which is discovered through the consultation process, and where accommodation is required, the Aboriginal interest must be balanced with other potential interests.  </w:t>
      </w:r>
      <w:r w:rsidR="00712116">
        <w:t>The duty to accommodate</w:t>
      </w:r>
      <w:r w:rsidR="003B753A">
        <w:t xml:space="preserve"> is often required when the consequences of a decision will adversely affect a First Nation claim (i.e. aboriginal interests or treaty rights) in a significant manner and steps </w:t>
      </w:r>
      <w:r w:rsidR="0033664C">
        <w:t>may be required</w:t>
      </w:r>
      <w:r w:rsidR="003B753A">
        <w:t xml:space="preserve"> to prevent irreparable harm or to minimize the impacts.  This could include revising the original proposal prior to a decision being made, implementing mitigation </w:t>
      </w:r>
      <w:r w:rsidR="00A92321">
        <w:t xml:space="preserve">or monitoring measures, </w:t>
      </w:r>
      <w:r w:rsidR="003B753A">
        <w:t xml:space="preserve">or potentially providing compensation for the impacts.  </w:t>
      </w:r>
      <w:r w:rsidR="00A92321">
        <w:t xml:space="preserve">Aboriginal interests and treaty rights can include matters dealing with land claims but can also include other interests beyond just the claimed land under dispute (e.g. impacts to fishing rights, archaeological interests, medicinal plants, etc.).  </w:t>
      </w:r>
      <w:r w:rsidR="004E77C9">
        <w:t>It should be noted that Aboriginal people as outlined in the Supreme Court of Canada Decision includes First Nations, Metis and Inuit peoples.</w:t>
      </w:r>
    </w:p>
    <w:p w:rsidR="00650002" w:rsidRDefault="00650002" w:rsidP="005D7D07">
      <w:r>
        <w:t xml:space="preserve">County </w:t>
      </w:r>
      <w:proofErr w:type="gramStart"/>
      <w:r>
        <w:t>staff have</w:t>
      </w:r>
      <w:proofErr w:type="gramEnd"/>
      <w:r>
        <w:t xml:space="preserve"> been aware of this Supreme Court ruling for a number of years now, and have been circulating all County Planning applications to the SON, the Metis Nation of Ontario (MNO), and the Historic </w:t>
      </w:r>
      <w:proofErr w:type="spellStart"/>
      <w:r>
        <w:t>Saugeen</w:t>
      </w:r>
      <w:proofErr w:type="spellEnd"/>
      <w:r>
        <w:t xml:space="preserve"> Metis (HSM) for their comment and input.  To date, the County has not circulated proposed development applications to </w:t>
      </w:r>
      <w:r w:rsidR="00FE4C64">
        <w:t xml:space="preserve">the </w:t>
      </w:r>
      <w:r>
        <w:t xml:space="preserve">Six Nations, however based on the information provided by the Six Nations at the Warden’s Forum, staff will add Six Nations to the circulation list for any </w:t>
      </w:r>
      <w:r w:rsidR="00300F49">
        <w:t xml:space="preserve">new planning applications that are proposed within </w:t>
      </w:r>
      <w:r>
        <w:t xml:space="preserve">the </w:t>
      </w:r>
      <w:proofErr w:type="spellStart"/>
      <w:r>
        <w:t>Haldimand</w:t>
      </w:r>
      <w:proofErr w:type="spellEnd"/>
      <w:r>
        <w:t xml:space="preserve"> Tract.  It should be noted that </w:t>
      </w:r>
      <w:r>
        <w:lastRenderedPageBreak/>
        <w:t xml:space="preserve">based on the </w:t>
      </w:r>
      <w:r>
        <w:rPr>
          <w:i/>
        </w:rPr>
        <w:t xml:space="preserve">Planning Act </w:t>
      </w:r>
      <w:r>
        <w:t xml:space="preserve"> and the associated Regulations, municipalities are not required to circulate First Nations or Metis peoples unless the application is within one </w:t>
      </w:r>
      <w:proofErr w:type="spellStart"/>
      <w:r>
        <w:t>kilometre</w:t>
      </w:r>
      <w:proofErr w:type="spellEnd"/>
      <w:r>
        <w:t xml:space="preserve"> of a reserve, or unless a municipality has received a written request for circulation on such an application.  </w:t>
      </w:r>
      <w:r w:rsidRPr="0006504A">
        <w:t>On</w:t>
      </w:r>
      <w:r>
        <w:t xml:space="preserve"> a number of occasions both the SON and the MNO have indicated that they wish to be circulated on such applications, but that in their opinion the circulation of notices and documents does not constitute ‘consultation’ as per their interpretation of the ‘duty to consult’.</w:t>
      </w:r>
    </w:p>
    <w:p w:rsidR="00650002" w:rsidRDefault="00650002" w:rsidP="005D7D07">
      <w:r>
        <w:t xml:space="preserve">The SON also provided comments on the County’s Five Year Review (OPA 80), which resulted in </w:t>
      </w:r>
      <w:r w:rsidR="001D40AD">
        <w:t xml:space="preserve">the Province changing policies as part of their approval.  </w:t>
      </w:r>
      <w:r>
        <w:t>Within OPA 80 the County requires consultation with First Nations and Metis peoples for official plan amendments and plans of subdivision / condominium.  OPA 80 also notes that the County will develop a consultation protocol with the First Nations and Metis.  It should be noted that the County does not currently have a consultation protocol with any First Nation</w:t>
      </w:r>
      <w:r w:rsidR="00FE4C64">
        <w:t>s</w:t>
      </w:r>
      <w:r>
        <w:t xml:space="preserve"> or Metis group</w:t>
      </w:r>
      <w:r w:rsidR="00300F49">
        <w:t>s</w:t>
      </w:r>
      <w:r>
        <w:t>.  The County Official Plan also does not define ‘consultation’ in this context.</w:t>
      </w:r>
    </w:p>
    <w:p w:rsidR="00523283" w:rsidRDefault="00523283" w:rsidP="00523283">
      <w:r>
        <w:t xml:space="preserve">The Supreme Court of Canada Decision is clear that the </w:t>
      </w:r>
      <w:r w:rsidR="00300F49">
        <w:t>d</w:t>
      </w:r>
      <w:r>
        <w:t xml:space="preserve">uty to </w:t>
      </w:r>
      <w:r w:rsidR="00300F49">
        <w:t>c</w:t>
      </w:r>
      <w:r>
        <w:t xml:space="preserve">onsult and to </w:t>
      </w:r>
      <w:r w:rsidR="00300F49">
        <w:t>a</w:t>
      </w:r>
      <w:r>
        <w:t xml:space="preserve">ccommodate rests with the Crown.  The question as to whether or not the </w:t>
      </w:r>
      <w:r w:rsidR="00300F49">
        <w:t>d</w:t>
      </w:r>
      <w:r>
        <w:t xml:space="preserve">uty to </w:t>
      </w:r>
      <w:r w:rsidR="00300F49">
        <w:t>c</w:t>
      </w:r>
      <w:r>
        <w:t>onsult extends to municipalities was tested in a B</w:t>
      </w:r>
      <w:r w:rsidR="00300F49">
        <w:t xml:space="preserve">ritish Columbia (BC) </w:t>
      </w:r>
      <w:r>
        <w:t>Court decision in 2013</w:t>
      </w:r>
      <w:r w:rsidR="00300F49">
        <w:t xml:space="preserve"> known as the </w:t>
      </w:r>
      <w:proofErr w:type="spellStart"/>
      <w:r w:rsidR="00300F49">
        <w:t>Neskonlith</w:t>
      </w:r>
      <w:proofErr w:type="spellEnd"/>
      <w:r w:rsidR="00300F49">
        <w:t xml:space="preserve"> case</w:t>
      </w:r>
      <w:r w:rsidR="0033664C">
        <w:t xml:space="preserve">.  The Court decided </w:t>
      </w:r>
      <w:r>
        <w:t xml:space="preserve">that the </w:t>
      </w:r>
      <w:r w:rsidR="00300F49">
        <w:t>d</w:t>
      </w:r>
      <w:r>
        <w:t xml:space="preserve">uty to </w:t>
      </w:r>
      <w:r w:rsidR="00300F49">
        <w:t>c</w:t>
      </w:r>
      <w:r>
        <w:t xml:space="preserve">onsult and </w:t>
      </w:r>
      <w:r w:rsidR="00300F49">
        <w:t>a</w:t>
      </w:r>
      <w:r>
        <w:t xml:space="preserve">ccommodate does not include municipalities as the </w:t>
      </w:r>
      <w:r w:rsidR="00300F49">
        <w:t>d</w:t>
      </w:r>
      <w:r>
        <w:t>uty rests with the Crown.</w:t>
      </w:r>
      <w:r w:rsidR="002C61DD">
        <w:t xml:space="preserve">  </w:t>
      </w:r>
      <w:r w:rsidR="00E5161A">
        <w:t xml:space="preserve">The County Solicitor agrees that Grey County would not be considered the Crown for private development applications and nor does it possess the </w:t>
      </w:r>
      <w:r w:rsidR="001D40AD">
        <w:t>jurisdiction</w:t>
      </w:r>
      <w:r w:rsidR="00E5161A">
        <w:t>, expertise or resources to make determinations with respect to native land claim issues.</w:t>
      </w:r>
    </w:p>
    <w:p w:rsidR="004956F4" w:rsidRDefault="004956F4" w:rsidP="00523283">
      <w:r>
        <w:t xml:space="preserve">The Provincial Policy Statement </w:t>
      </w:r>
      <w:r w:rsidR="00300F49">
        <w:t xml:space="preserve">(PPS) </w:t>
      </w:r>
      <w:r>
        <w:t>was recently updated by the Province which includes some policies regarding aboriginal communities.</w:t>
      </w:r>
      <w:r w:rsidR="00383687">
        <w:t xml:space="preserve">  In Part IV: Vision of Ontario’s Land Use Planning System the PPS states that the Province recognizes the importance of consulting with Aboriginal communities on planning matters that may affect their rights and interests.  </w:t>
      </w:r>
      <w:r>
        <w:t>Section 1.2.2 of the PP</w:t>
      </w:r>
      <w:r w:rsidR="00300F49">
        <w:t>S</w:t>
      </w:r>
      <w:r>
        <w:t xml:space="preserve"> states that planning authorities are encouraged to coordinate planning matters with Aboriginal communities.  </w:t>
      </w:r>
      <w:proofErr w:type="gramStart"/>
      <w:r>
        <w:t>Section 2.6.5 states that planning authorities shall consider the interests of Aboriginal communities in conserving cultural heritage and archaeological resources.</w:t>
      </w:r>
      <w:proofErr w:type="gramEnd"/>
      <w:r>
        <w:t xml:space="preserve">  </w:t>
      </w:r>
      <w:r w:rsidR="00383687">
        <w:t>Section 4.3 states that t</w:t>
      </w:r>
      <w:r>
        <w:t xml:space="preserve">he </w:t>
      </w:r>
      <w:r w:rsidR="00300F49">
        <w:t>PPS</w:t>
      </w:r>
      <w:r>
        <w:t xml:space="preserve"> shall be implemented in </w:t>
      </w:r>
      <w:r w:rsidR="00300F49">
        <w:t xml:space="preserve">a </w:t>
      </w:r>
      <w:r>
        <w:t>manner that is consistent with the recognition and affirmation of existing Aboriginal and treaty rights in section 35 of the Constitution Act, 1982.</w:t>
      </w:r>
    </w:p>
    <w:p w:rsidR="00383687" w:rsidRDefault="00383687" w:rsidP="00523283">
      <w:r>
        <w:t xml:space="preserve">It is unclear what the Province is expecting of municipalities when making decisions that are consistent with the above noted policies.  </w:t>
      </w:r>
      <w:proofErr w:type="gramStart"/>
      <w:r>
        <w:t>Staff are</w:t>
      </w:r>
      <w:proofErr w:type="gramEnd"/>
      <w:r>
        <w:t xml:space="preserve"> interpreting these policies to indicate that municipalities are encouraged to consult aboriginal communities as </w:t>
      </w:r>
      <w:r>
        <w:lastRenderedPageBreak/>
        <w:t xml:space="preserve">part of the planning process and ensuring that the conservation of cultural heritage and archaeological resources considers the interests of Aboriginal communities.  With respect to Section 4.3, this will be difficult for municipalities </w:t>
      </w:r>
      <w:r w:rsidR="00300F49">
        <w:t xml:space="preserve">to implement </w:t>
      </w:r>
      <w:r>
        <w:t xml:space="preserve">as municipalities do not possess the </w:t>
      </w:r>
      <w:r w:rsidR="00C240FA">
        <w:t>jurisdiction</w:t>
      </w:r>
      <w:r>
        <w:t xml:space="preserve">, expertise, or </w:t>
      </w:r>
      <w:r w:rsidR="00C240FA">
        <w:t>resources</w:t>
      </w:r>
      <w:r>
        <w:t xml:space="preserve"> to make determinations with respec</w:t>
      </w:r>
      <w:r w:rsidR="00C240FA">
        <w:t>t to Aboriginal treaty rights.</w:t>
      </w:r>
    </w:p>
    <w:p w:rsidR="00523283" w:rsidRDefault="00C240FA" w:rsidP="005D7D07">
      <w:r>
        <w:t xml:space="preserve">The uncertainty regarding the </w:t>
      </w:r>
      <w:r w:rsidR="00300F49">
        <w:t>d</w:t>
      </w:r>
      <w:r>
        <w:t xml:space="preserve">uty to </w:t>
      </w:r>
      <w:r w:rsidR="00300F49">
        <w:t>c</w:t>
      </w:r>
      <w:r>
        <w:t xml:space="preserve">onsult and </w:t>
      </w:r>
      <w:r w:rsidR="00300F49">
        <w:t>a</w:t>
      </w:r>
      <w:r>
        <w:t xml:space="preserve">ccommodate has resulted in delays in the processing of planning applications.  At the time of pre-consultation, </w:t>
      </w:r>
      <w:r w:rsidR="00E45EFD">
        <w:t>proponents</w:t>
      </w:r>
      <w:r>
        <w:t xml:space="preserve"> are encouraged to consult with Aboriginal communities.  </w:t>
      </w:r>
      <w:r w:rsidR="00E45EFD">
        <w:t>Proponents</w:t>
      </w:r>
      <w:r>
        <w:t xml:space="preserve"> have consulted with Aboriginal communities, including the SON, and SON has requested that </w:t>
      </w:r>
      <w:r w:rsidR="00E45EFD">
        <w:t>some proponents</w:t>
      </w:r>
      <w:r>
        <w:t xml:space="preserve"> enter into an agreement with SON which is provided to </w:t>
      </w:r>
      <w:r w:rsidR="00E45EFD">
        <w:t xml:space="preserve">the </w:t>
      </w:r>
      <w:r>
        <w:t xml:space="preserve">developer by SON.  Following receipt of these agreements, </w:t>
      </w:r>
      <w:r w:rsidR="00E45EFD">
        <w:t>developers</w:t>
      </w:r>
      <w:r>
        <w:t xml:space="preserve"> ha</w:t>
      </w:r>
      <w:r w:rsidR="00E45EFD">
        <w:t>ve</w:t>
      </w:r>
      <w:r>
        <w:t xml:space="preserve"> expressed concerns to County staff with respect to the draft agreement</w:t>
      </w:r>
      <w:r w:rsidR="00E45EFD">
        <w:t>s</w:t>
      </w:r>
      <w:r>
        <w:t>.  One such development was Official Plan Amendment 113 (OPA 113) which proposed a mineral a</w:t>
      </w:r>
      <w:r w:rsidR="00E45EFD">
        <w:t xml:space="preserve">ggregate operation in the Municipality of West Grey.  Upon receiving concerns from the proponent, County staff </w:t>
      </w:r>
      <w:r w:rsidR="00E335F2">
        <w:t>liaised</w:t>
      </w:r>
      <w:r w:rsidR="00E45EFD">
        <w:t xml:space="preserve"> with SON staff to get further clarification on the draft agreement.  County staff also sought general advice from the Province on this matter, and discussed it with the Ministry of Municipal Affairs and Housing (MMAH) and the Ministry of Aboriginal Affairs.  Both Provincial ministries encouraged County staff to facilitate another meeting between the SON and the proponent to further discuss the matter.  County </w:t>
      </w:r>
      <w:proofErr w:type="gramStart"/>
      <w:r w:rsidR="00E45EFD">
        <w:t>staff were</w:t>
      </w:r>
      <w:proofErr w:type="gramEnd"/>
      <w:r w:rsidR="00E45EFD">
        <w:t xml:space="preserve"> not able to facilitate any further meetings between the two groups and the proponent indicated that they would “refrain from further meetings with SON” and requested that County staff provide their recommendation to the County Planning Committee.</w:t>
      </w:r>
    </w:p>
    <w:p w:rsidR="00E45EFD" w:rsidRDefault="00E45EFD" w:rsidP="005D7D07">
      <w:r>
        <w:t xml:space="preserve">Part of the uncertainty with respect to the </w:t>
      </w:r>
      <w:r w:rsidR="00A151A5">
        <w:t>d</w:t>
      </w:r>
      <w:r>
        <w:t xml:space="preserve">uty to </w:t>
      </w:r>
      <w:r w:rsidR="00A151A5">
        <w:t>c</w:t>
      </w:r>
      <w:r>
        <w:t xml:space="preserve">onsult and </w:t>
      </w:r>
      <w:r w:rsidR="00A151A5">
        <w:t>a</w:t>
      </w:r>
      <w:r>
        <w:t xml:space="preserve">ccommodate are the obligations, if any, for municipalities.  </w:t>
      </w:r>
      <w:r w:rsidR="00FD4F82">
        <w:t xml:space="preserve">Over the past few years, support regarding the consultation of Aboriginal communities from the Crown has been limited.  It would be beneficial for the County to have the Federal Governments and Provincial Governments provide </w:t>
      </w:r>
      <w:r w:rsidR="0033664C">
        <w:t>municipalities with</w:t>
      </w:r>
      <w:r w:rsidR="00FD4F82">
        <w:t xml:space="preserve"> support and guidance regarding this matter.  Some of the issues and delays regarding proposed development also </w:t>
      </w:r>
      <w:r w:rsidR="00C36C93">
        <w:t>revolve</w:t>
      </w:r>
      <w:r w:rsidR="00FD4F82">
        <w:t xml:space="preserve"> around the unresolved land claim disputes that are before the courts.  Therefore it would also be beneficial for the Crown to enter into discussions with </w:t>
      </w:r>
      <w:r w:rsidR="00DB0455">
        <w:t>Aboriginal</w:t>
      </w:r>
      <w:r w:rsidR="00FD4F82">
        <w:t xml:space="preserve"> communities to work towards a resolution of the outstanding land claim issues.</w:t>
      </w:r>
    </w:p>
    <w:p w:rsidR="00A151A5" w:rsidRDefault="00C240FA" w:rsidP="00C240FA">
      <w:r>
        <w:t xml:space="preserve">County </w:t>
      </w:r>
      <w:proofErr w:type="gramStart"/>
      <w:r>
        <w:t>staff recognize</w:t>
      </w:r>
      <w:proofErr w:type="gramEnd"/>
      <w:r>
        <w:t xml:space="preserve"> the importance of continuing to strengthen and develop good relations with Aboriginal communities.</w:t>
      </w:r>
      <w:r w:rsidR="00FD4F82">
        <w:t xml:space="preserve">  County staff have </w:t>
      </w:r>
      <w:r w:rsidR="00A151A5">
        <w:t>had discussion</w:t>
      </w:r>
      <w:r w:rsidR="0033664C">
        <w:t>s</w:t>
      </w:r>
      <w:r w:rsidR="00A151A5">
        <w:t xml:space="preserve"> in the past with </w:t>
      </w:r>
      <w:r w:rsidR="00FD4F82">
        <w:t xml:space="preserve">the SON </w:t>
      </w:r>
      <w:r w:rsidR="00A151A5">
        <w:t xml:space="preserve">staff </w:t>
      </w:r>
      <w:r w:rsidR="00FD4F82">
        <w:t>in order to try to develop a consultation protocol as identified in the County Official Plan</w:t>
      </w:r>
      <w:r w:rsidR="009D2F85">
        <w:t xml:space="preserve"> and the </w:t>
      </w:r>
      <w:r w:rsidR="009D2F85" w:rsidRPr="00A151A5">
        <w:t>Corporate Operating Plan</w:t>
      </w:r>
      <w:r w:rsidR="00FD4F82">
        <w:t xml:space="preserve">. The </w:t>
      </w:r>
      <w:r w:rsidR="009D2F85">
        <w:t xml:space="preserve">purpose of </w:t>
      </w:r>
      <w:r w:rsidR="00A151A5">
        <w:t>a</w:t>
      </w:r>
      <w:r w:rsidR="009D2F85">
        <w:t xml:space="preserve"> consultation protocol is to establish a process and mechanism to ensure appropriate and adequate consultation </w:t>
      </w:r>
      <w:r w:rsidR="00A151A5">
        <w:t xml:space="preserve">occurs with Aboriginal communities </w:t>
      </w:r>
      <w:r w:rsidR="009D2F85">
        <w:t xml:space="preserve">regarding County Planning and County Projects.  </w:t>
      </w:r>
      <w:r w:rsidR="00A92321">
        <w:t xml:space="preserve">County Projects could include various studies undertaken by the </w:t>
      </w:r>
      <w:r w:rsidR="00A92321">
        <w:lastRenderedPageBreak/>
        <w:t>County and could also include infrastructure projects such are transportation related projects.</w:t>
      </w:r>
    </w:p>
    <w:p w:rsidR="00A151A5" w:rsidRDefault="00DB0455" w:rsidP="00C240FA">
      <w:r>
        <w:t xml:space="preserve">It is County staffs understanding that a </w:t>
      </w:r>
      <w:r w:rsidR="00C36C93">
        <w:t>notification agreement</w:t>
      </w:r>
      <w:r>
        <w:t xml:space="preserve"> has been in place in parts of </w:t>
      </w:r>
      <w:r w:rsidR="0033664C">
        <w:t xml:space="preserve">the </w:t>
      </w:r>
      <w:proofErr w:type="spellStart"/>
      <w:r>
        <w:t>Haldimand</w:t>
      </w:r>
      <w:proofErr w:type="spellEnd"/>
      <w:r>
        <w:t xml:space="preserve"> Tract area since 1996 which is known as the Grand River Notification Agreement (GRNA).  </w:t>
      </w:r>
      <w:r w:rsidR="00A151A5">
        <w:t xml:space="preserve">The GRNA is required to be renewed every 5 years by the Parties, and during the last renewal period the Federal Government was not moving forward with the signing of the GRNA.  The other parties recognized the importance of having the GRNA in place and therefore revised the GRNA by removing </w:t>
      </w:r>
      <w:r w:rsidR="0033664C">
        <w:t xml:space="preserve">the </w:t>
      </w:r>
      <w:r w:rsidR="00A151A5">
        <w:t>Federal Government as a party to the Agreement and all the other parties signed the Agreement (</w:t>
      </w:r>
      <w:r w:rsidR="00A151A5" w:rsidRPr="00E335F2">
        <w:t>see link below to</w:t>
      </w:r>
      <w:r w:rsidR="00A151A5">
        <w:t xml:space="preserve"> a </w:t>
      </w:r>
      <w:proofErr w:type="spellStart"/>
      <w:r w:rsidR="00A151A5">
        <w:t>Haldimand</w:t>
      </w:r>
      <w:proofErr w:type="spellEnd"/>
      <w:r w:rsidR="00A151A5">
        <w:t xml:space="preserve"> County staff report which includes a copy of the revised GRNA signed by the parties).  The following parties have signed on to the latest GRNA: Six Nations of the Grand River, </w:t>
      </w:r>
      <w:proofErr w:type="spellStart"/>
      <w:r w:rsidR="0033664C">
        <w:t>Mississaugas</w:t>
      </w:r>
      <w:proofErr w:type="spellEnd"/>
      <w:r w:rsidR="00A151A5">
        <w:t xml:space="preserve"> of the New Credit, City of Brantford, County of Brant, </w:t>
      </w:r>
      <w:proofErr w:type="spellStart"/>
      <w:r w:rsidR="00A151A5">
        <w:t>Haldimand</w:t>
      </w:r>
      <w:proofErr w:type="spellEnd"/>
      <w:r w:rsidR="00A151A5">
        <w:t xml:space="preserve"> County, Grand River Conservation Authority and the Province of Ontario.</w:t>
      </w:r>
    </w:p>
    <w:p w:rsidR="00E702C3" w:rsidRDefault="00A92DEE" w:rsidP="00AC3A8B">
      <w:r>
        <w:t>According to a document entitled “Background to the Grand River Notification Agreement” prepared by the Indian and Northern Affairs Canada</w:t>
      </w:r>
      <w:r w:rsidR="00A151A5">
        <w:t xml:space="preserve"> dated October 3, </w:t>
      </w:r>
      <w:r w:rsidR="00A151A5" w:rsidRPr="00E335F2">
        <w:t>1998 (link below)</w:t>
      </w:r>
      <w:r w:rsidRPr="00E335F2">
        <w:t>, “</w:t>
      </w:r>
      <w:r w:rsidR="00C36C93" w:rsidRPr="00E335F2">
        <w:t>t</w:t>
      </w:r>
      <w:r w:rsidRPr="00E335F2">
        <w:t>he</w:t>
      </w:r>
      <w:r>
        <w:t xml:space="preserve"> Six Nations were concern</w:t>
      </w:r>
      <w:r w:rsidR="00C36C93">
        <w:t>ed</w:t>
      </w:r>
      <w:r>
        <w:t xml:space="preserve"> about activities within municipal boundaries affecting lands subject to a claim or whose status remained legally undetermined”.  The document notes that “from a municipal perspective, uncertainty arising from the unsettled claims, and prote</w:t>
      </w:r>
      <w:r w:rsidR="00674D2E">
        <w:t>s</w:t>
      </w:r>
      <w:r>
        <w:t xml:space="preserve">ts and demonstrations by members of the Six </w:t>
      </w:r>
      <w:proofErr w:type="gramStart"/>
      <w:r>
        <w:t>Nations,</w:t>
      </w:r>
      <w:proofErr w:type="gramEnd"/>
      <w:r>
        <w:t xml:space="preserve"> were seen as impeding economic development and hampering municipal public wor</w:t>
      </w:r>
      <w:r w:rsidR="00E335F2">
        <w:t>ks construction”.  The document</w:t>
      </w:r>
      <w:r>
        <w:t xml:space="preserve"> notes that “in general, a lack of communication prevailed, so that municipalities did not inform First Nations of their activities, and vice versa” and noted that “neither party clearly understood the legal framework and constraints within </w:t>
      </w:r>
      <w:r w:rsidR="0033664C">
        <w:t>which</w:t>
      </w:r>
      <w:r>
        <w:t xml:space="preserve"> the other functioned”.  </w:t>
      </w:r>
      <w:r w:rsidR="00157125">
        <w:t>Therefore, the parties entered into the GRNA to “notify each other about any contemplated action that might have significant effec</w:t>
      </w:r>
      <w:r w:rsidR="00E702C3">
        <w:t>t on the physical environment”.</w:t>
      </w:r>
    </w:p>
    <w:p w:rsidR="003411E1" w:rsidRDefault="00E702C3" w:rsidP="003411E1">
      <w:r>
        <w:t xml:space="preserve">Given all the above, staff are recommending that Council support a letter to be prepared by the Warden to be sent to the Provincial and Federal Governments encouraging them to engage in consultation with </w:t>
      </w:r>
      <w:r w:rsidR="00EC6CAF">
        <w:t xml:space="preserve">the </w:t>
      </w:r>
      <w:proofErr w:type="spellStart"/>
      <w:r w:rsidR="00EC6CAF">
        <w:t>Saugeen</w:t>
      </w:r>
      <w:proofErr w:type="spellEnd"/>
      <w:r w:rsidR="00EC6CAF">
        <w:t xml:space="preserve"> </w:t>
      </w:r>
      <w:proofErr w:type="spellStart"/>
      <w:r w:rsidR="00EC6CAF">
        <w:t>Ojibway</w:t>
      </w:r>
      <w:proofErr w:type="spellEnd"/>
      <w:r w:rsidR="00EC6CAF">
        <w:t xml:space="preserve"> Nation and Six Nations of the Grand River</w:t>
      </w:r>
      <w:r>
        <w:t xml:space="preserve"> leaders to work towards a resolution </w:t>
      </w:r>
      <w:r w:rsidR="003411E1">
        <w:t xml:space="preserve">of the outstanding land claim issues as well as provide further guidance or direction on matters related to the duty to consult.  Until these matters have been resolved, </w:t>
      </w:r>
      <w:r w:rsidR="00FE4C64">
        <w:t>it is recommended that staff</w:t>
      </w:r>
      <w:r w:rsidR="003411E1">
        <w:t xml:space="preserve"> continue to have further </w:t>
      </w:r>
      <w:r w:rsidR="00157125">
        <w:t>discussions with Aboriginal communities (including SON, Six Nations of the Grand</w:t>
      </w:r>
      <w:r w:rsidR="00FE4C64">
        <w:t xml:space="preserve"> River</w:t>
      </w:r>
      <w:r w:rsidR="00157125">
        <w:t xml:space="preserve">, and Metis communities) to </w:t>
      </w:r>
      <w:r w:rsidR="00C36C93">
        <w:t>try to establish</w:t>
      </w:r>
      <w:r w:rsidR="00157125">
        <w:t xml:space="preserve"> consultation</w:t>
      </w:r>
      <w:r w:rsidR="003411E1">
        <w:t>/notification protocols.  Staff will bring forward a more detailed report in the next few months regarding consultation/notification protocols.</w:t>
      </w:r>
    </w:p>
    <w:p w:rsidR="00AC3A8B" w:rsidRPr="00B0378D" w:rsidRDefault="00AC3A8B" w:rsidP="00AC3A8B">
      <w:pPr>
        <w:pStyle w:val="Heading2"/>
        <w:rPr>
          <w:b/>
        </w:rPr>
      </w:pPr>
      <w:r w:rsidRPr="00B0378D">
        <w:lastRenderedPageBreak/>
        <w:t>Financial / Staffing / Legal / Information Technology Considerations</w:t>
      </w:r>
    </w:p>
    <w:p w:rsidR="00AC3A8B" w:rsidRPr="00B0378D" w:rsidRDefault="00674D2E" w:rsidP="00AC3A8B">
      <w:r>
        <w:t xml:space="preserve">The uncertainty with respect to the </w:t>
      </w:r>
      <w:r w:rsidR="003411E1">
        <w:t>d</w:t>
      </w:r>
      <w:r>
        <w:t xml:space="preserve">uty to </w:t>
      </w:r>
      <w:r w:rsidR="003411E1">
        <w:t>c</w:t>
      </w:r>
      <w:r>
        <w:t xml:space="preserve">onsult and </w:t>
      </w:r>
      <w:r w:rsidR="003411E1">
        <w:t>a</w:t>
      </w:r>
      <w:r>
        <w:t xml:space="preserve">ccommodate with Aboriginal Communities as well as the unresolved land claim disputes have the potential to delay the approval of planning applications and to potentially impede economic development.  It is recommended that Council encourage the Provincial and Federal Governments to enter into discussions with Aboriginal communities in an attempt to resolve </w:t>
      </w:r>
      <w:r w:rsidR="003411E1">
        <w:t xml:space="preserve">the </w:t>
      </w:r>
      <w:r>
        <w:t xml:space="preserve">land claim disputes.  In the interim, it is recommended that Council direct staff to further explore the option of entering into consultation/notification protocols in order to develop a process for notifying and consulting Aboriginal communities regarding County </w:t>
      </w:r>
      <w:r w:rsidR="00A92321">
        <w:t>Planning matters</w:t>
      </w:r>
      <w:r>
        <w:t xml:space="preserve"> and County </w:t>
      </w:r>
      <w:r w:rsidR="00A92321">
        <w:t>Projects (i.e. studies undertaken by the County, infrastructure projects, etc.)</w:t>
      </w:r>
      <w:r>
        <w:t xml:space="preserve">.  </w:t>
      </w:r>
      <w:r w:rsidR="00F77B1F">
        <w:t>These discussions will consume a portion of existing staff time</w:t>
      </w:r>
      <w:r w:rsidR="003411E1">
        <w:t xml:space="preserve">.  There also may be </w:t>
      </w:r>
      <w:r w:rsidR="00F77B1F">
        <w:t xml:space="preserve">further legal costs to review draft </w:t>
      </w:r>
      <w:r w:rsidR="003411E1">
        <w:t>protocols</w:t>
      </w:r>
      <w:r w:rsidR="00F77B1F">
        <w:t xml:space="preserve">.  Should the discussions with Aboriginal communities prove successful, final draft </w:t>
      </w:r>
      <w:r w:rsidR="003411E1">
        <w:t>protocol</w:t>
      </w:r>
      <w:r w:rsidR="00F77B1F">
        <w:t xml:space="preserve">s would then be presented to Council for </w:t>
      </w:r>
      <w:proofErr w:type="gramStart"/>
      <w:r w:rsidR="00F77B1F">
        <w:t>consideration.</w:t>
      </w:r>
      <w:proofErr w:type="gramEnd"/>
    </w:p>
    <w:p w:rsidR="00AC3A8B" w:rsidRPr="00580AAD" w:rsidRDefault="00AC3A8B" w:rsidP="00AC3A8B">
      <w:pPr>
        <w:pStyle w:val="Heading2"/>
      </w:pPr>
      <w:r w:rsidRPr="00580AAD">
        <w:t>Link to Strategic Goals / Priorities</w:t>
      </w:r>
    </w:p>
    <w:p w:rsidR="00AC3A8B" w:rsidRDefault="00F77B1F" w:rsidP="00AC3A8B">
      <w:r>
        <w:t>The County Official Plan notes that the County will develop a consultation protocol with the First Nations and Metis.  The Corporat</w:t>
      </w:r>
      <w:r w:rsidR="003411E1">
        <w:t>e Operating Plan also identifies</w:t>
      </w:r>
      <w:r>
        <w:t xml:space="preserve"> that the County is to pursue a general engagement protocol with First Nations with a timeframe for completion targeted for Q4/2015.  Action Item 4.7 of the Corporate Strategic Plan indicates that the County should work cooperatively with our </w:t>
      </w:r>
      <w:proofErr w:type="spellStart"/>
      <w:r>
        <w:t>neighbours</w:t>
      </w:r>
      <w:proofErr w:type="spellEnd"/>
      <w:r>
        <w:t xml:space="preserve"> on issues of mutual interest, in support of advancing collective aspirations.  Therefore it is important to work with Aboriginal communities to develop a communication process to share information and to notify Aboriginal communities of any action being contemplated </w:t>
      </w:r>
      <w:r w:rsidR="00705B4E">
        <w:t xml:space="preserve">by the County that may have an impact on </w:t>
      </w:r>
      <w:r w:rsidR="00966B21">
        <w:t>their</w:t>
      </w:r>
      <w:r w:rsidR="00705B4E">
        <w:t xml:space="preserve"> rights and interests.</w:t>
      </w:r>
    </w:p>
    <w:p w:rsidR="00CF4AA5" w:rsidRDefault="003411E1" w:rsidP="00CF4AA5">
      <w:pPr>
        <w:pStyle w:val="Heading2"/>
      </w:pPr>
      <w:r>
        <w:t>Attachments</w:t>
      </w:r>
    </w:p>
    <w:p w:rsidR="003411E1" w:rsidRDefault="005A4671" w:rsidP="00CF4AA5">
      <w:hyperlink r:id="rId10" w:history="1">
        <w:proofErr w:type="spellStart"/>
        <w:r w:rsidR="00E335F2">
          <w:rPr>
            <w:rStyle w:val="Hyperlink"/>
          </w:rPr>
          <w:t>Haldimand</w:t>
        </w:r>
        <w:proofErr w:type="spellEnd"/>
        <w:r w:rsidR="00E335F2">
          <w:rPr>
            <w:rStyle w:val="Hyperlink"/>
          </w:rPr>
          <w:t xml:space="preserve"> County Staff Report - Grand River Notification Agreement</w:t>
        </w:r>
      </w:hyperlink>
    </w:p>
    <w:p w:rsidR="00E335F2" w:rsidRDefault="005A4671" w:rsidP="00CF4AA5">
      <w:hyperlink r:id="rId11" w:history="1">
        <w:r w:rsidR="00E335F2">
          <w:rPr>
            <w:rStyle w:val="Hyperlink"/>
          </w:rPr>
          <w:t>Background to the Grand River Notification Agreement - Indian and Northern Affairs Canada - October 3, 1998</w:t>
        </w:r>
      </w:hyperlink>
    </w:p>
    <w:p w:rsidR="00AC3A8B" w:rsidRPr="00B0378D" w:rsidRDefault="00AC3A8B" w:rsidP="00AC3A8B">
      <w:r w:rsidRPr="00B0378D">
        <w:t>Respectfully submitted by,</w:t>
      </w:r>
    </w:p>
    <w:p w:rsidR="00FE7170" w:rsidRDefault="00157125" w:rsidP="00A85D36">
      <w:r>
        <w:t>Randy Scherzer</w:t>
      </w:r>
      <w:r w:rsidR="00B12CC6">
        <w:br/>
      </w:r>
      <w:r w:rsidR="000E68A3">
        <w:t>Director of Planning</w:t>
      </w:r>
    </w:p>
    <w:sectPr w:rsidR="00FE7170" w:rsidSect="00953DFC">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00" w:rsidRDefault="00F12600" w:rsidP="00883D8D">
      <w:pPr>
        <w:spacing w:after="0" w:line="240" w:lineRule="auto"/>
      </w:pPr>
      <w:r>
        <w:separator/>
      </w:r>
    </w:p>
  </w:endnote>
  <w:endnote w:type="continuationSeparator" w:id="0">
    <w:p w:rsidR="00F12600" w:rsidRDefault="00F1260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2C61DD" w:rsidP="00AC3A8B">
    <w:pPr>
      <w:pStyle w:val="Footer"/>
      <w:rPr>
        <w:sz w:val="22"/>
        <w:szCs w:val="22"/>
      </w:rPr>
    </w:pPr>
    <w:r>
      <w:rPr>
        <w:sz w:val="22"/>
        <w:szCs w:val="22"/>
      </w:rPr>
      <w:t>PDR</w:t>
    </w:r>
    <w:r w:rsidR="00AC3A8B" w:rsidRPr="00FB686F">
      <w:rPr>
        <w:sz w:val="22"/>
        <w:szCs w:val="22"/>
      </w:rPr>
      <w:t>-</w:t>
    </w:r>
    <w:r>
      <w:rPr>
        <w:sz w:val="22"/>
        <w:szCs w:val="22"/>
      </w:rPr>
      <w:t>PCD</w:t>
    </w:r>
    <w:r w:rsidR="00AC3A8B" w:rsidRPr="00FB686F">
      <w:rPr>
        <w:sz w:val="22"/>
        <w:szCs w:val="22"/>
      </w:rPr>
      <w:t>-</w:t>
    </w:r>
    <w:r w:rsidR="00E610EF">
      <w:rPr>
        <w:sz w:val="22"/>
        <w:szCs w:val="22"/>
      </w:rPr>
      <w:t>22</w:t>
    </w:r>
    <w:r w:rsidR="00AC3A8B" w:rsidRPr="00FB686F">
      <w:rPr>
        <w:sz w:val="22"/>
        <w:szCs w:val="22"/>
      </w:rPr>
      <w:t>-</w:t>
    </w:r>
    <w:r>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5A467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June 17,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00" w:rsidRDefault="00F12600" w:rsidP="00883D8D">
      <w:pPr>
        <w:spacing w:after="0" w:line="240" w:lineRule="auto"/>
      </w:pPr>
      <w:r>
        <w:separator/>
      </w:r>
    </w:p>
  </w:footnote>
  <w:footnote w:type="continuationSeparator" w:id="0">
    <w:p w:rsidR="00F12600" w:rsidRDefault="00F12600"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5131"/>
    <w:multiLevelType w:val="multilevel"/>
    <w:tmpl w:val="28B02F98"/>
    <w:name w:val="Gen-408554175-F"/>
    <w:styleLink w:val="GenList"/>
    <w:lvl w:ilvl="0">
      <w:start w:val="1"/>
      <w:numFmt w:val="decimal"/>
      <w:lvlRestart w:val="0"/>
      <w:pStyle w:val="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lowerLetter"/>
      <w:pStyle w:val="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Gen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Gen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num w:numId="1">
    <w:abstractNumId w:val="0"/>
    <w:lvlOverride w:ilvl="0">
      <w:lvl w:ilvl="0">
        <w:start w:val="1"/>
        <w:numFmt w:val="decimal"/>
        <w:lvlRestart w:val="0"/>
        <w:pStyle w:val="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Override>
    <w:lvlOverride w:ilvl="1">
      <w:lvl w:ilvl="1">
        <w:start w:val="1"/>
        <w:numFmt w:val="lowerLetter"/>
        <w:pStyle w:val="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665"/>
    <w:rsid w:val="00047A0A"/>
    <w:rsid w:val="00081FCF"/>
    <w:rsid w:val="000B7C11"/>
    <w:rsid w:val="000E68A3"/>
    <w:rsid w:val="000F7A9A"/>
    <w:rsid w:val="00113FCB"/>
    <w:rsid w:val="00157125"/>
    <w:rsid w:val="001D40AD"/>
    <w:rsid w:val="001F1D7C"/>
    <w:rsid w:val="00247CA8"/>
    <w:rsid w:val="00280FD3"/>
    <w:rsid w:val="0028230C"/>
    <w:rsid w:val="002915BC"/>
    <w:rsid w:val="002A14DB"/>
    <w:rsid w:val="002C6064"/>
    <w:rsid w:val="002C61DD"/>
    <w:rsid w:val="00300F49"/>
    <w:rsid w:val="003062A4"/>
    <w:rsid w:val="0033664C"/>
    <w:rsid w:val="003411E1"/>
    <w:rsid w:val="00383687"/>
    <w:rsid w:val="003B753A"/>
    <w:rsid w:val="00446A72"/>
    <w:rsid w:val="00457F2B"/>
    <w:rsid w:val="00464176"/>
    <w:rsid w:val="004942B7"/>
    <w:rsid w:val="004956F4"/>
    <w:rsid w:val="004E77C9"/>
    <w:rsid w:val="004F083D"/>
    <w:rsid w:val="00515FEB"/>
    <w:rsid w:val="00523283"/>
    <w:rsid w:val="005A360A"/>
    <w:rsid w:val="005A4671"/>
    <w:rsid w:val="005D7D07"/>
    <w:rsid w:val="005E1961"/>
    <w:rsid w:val="00644370"/>
    <w:rsid w:val="00650002"/>
    <w:rsid w:val="006563A9"/>
    <w:rsid w:val="006614AC"/>
    <w:rsid w:val="00674D2E"/>
    <w:rsid w:val="006915DD"/>
    <w:rsid w:val="006B4C34"/>
    <w:rsid w:val="006D7772"/>
    <w:rsid w:val="00705B4E"/>
    <w:rsid w:val="00712116"/>
    <w:rsid w:val="00816DA7"/>
    <w:rsid w:val="008430D6"/>
    <w:rsid w:val="00883D8D"/>
    <w:rsid w:val="00895616"/>
    <w:rsid w:val="008F0BF2"/>
    <w:rsid w:val="009264DA"/>
    <w:rsid w:val="00953DFC"/>
    <w:rsid w:val="00966B21"/>
    <w:rsid w:val="009D2F85"/>
    <w:rsid w:val="009E3379"/>
    <w:rsid w:val="00A151A5"/>
    <w:rsid w:val="00A52D13"/>
    <w:rsid w:val="00A607A3"/>
    <w:rsid w:val="00A63DD6"/>
    <w:rsid w:val="00A85D36"/>
    <w:rsid w:val="00A92321"/>
    <w:rsid w:val="00A92DEE"/>
    <w:rsid w:val="00AA5E09"/>
    <w:rsid w:val="00AB2197"/>
    <w:rsid w:val="00AC3A8B"/>
    <w:rsid w:val="00B12CC6"/>
    <w:rsid w:val="00B64986"/>
    <w:rsid w:val="00BD352E"/>
    <w:rsid w:val="00C17C34"/>
    <w:rsid w:val="00C240FA"/>
    <w:rsid w:val="00C36C93"/>
    <w:rsid w:val="00C373E6"/>
    <w:rsid w:val="00C96F6D"/>
    <w:rsid w:val="00CE439D"/>
    <w:rsid w:val="00CF4AA5"/>
    <w:rsid w:val="00D06305"/>
    <w:rsid w:val="00D644FB"/>
    <w:rsid w:val="00DB0455"/>
    <w:rsid w:val="00DC1FF0"/>
    <w:rsid w:val="00E32F4D"/>
    <w:rsid w:val="00E335F2"/>
    <w:rsid w:val="00E45EFD"/>
    <w:rsid w:val="00E5161A"/>
    <w:rsid w:val="00E5286E"/>
    <w:rsid w:val="00E610EF"/>
    <w:rsid w:val="00E702C3"/>
    <w:rsid w:val="00EC6CAF"/>
    <w:rsid w:val="00F12600"/>
    <w:rsid w:val="00F77B1F"/>
    <w:rsid w:val="00FB158D"/>
    <w:rsid w:val="00FD4F82"/>
    <w:rsid w:val="00FE4C6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GenL1">
    <w:name w:val="Gen L1"/>
    <w:aliases w:val="G1"/>
    <w:basedOn w:val="Normal"/>
    <w:rsid w:val="009D2F85"/>
    <w:pPr>
      <w:numPr>
        <w:numId w:val="1"/>
      </w:numPr>
      <w:spacing w:after="240" w:line="240" w:lineRule="auto"/>
      <w:jc w:val="both"/>
      <w:outlineLvl w:val="0"/>
    </w:pPr>
    <w:rPr>
      <w:rFonts w:ascii="Times New Roman" w:hAnsi="Times New Roman" w:cs="Times New Roman"/>
    </w:rPr>
  </w:style>
  <w:style w:type="paragraph" w:customStyle="1" w:styleId="GenL2">
    <w:name w:val="Gen L2"/>
    <w:aliases w:val="G2"/>
    <w:basedOn w:val="Normal"/>
    <w:rsid w:val="009D2F85"/>
    <w:pPr>
      <w:numPr>
        <w:ilvl w:val="1"/>
        <w:numId w:val="1"/>
      </w:numPr>
      <w:spacing w:after="240" w:line="240" w:lineRule="auto"/>
      <w:jc w:val="both"/>
      <w:outlineLvl w:val="1"/>
    </w:pPr>
    <w:rPr>
      <w:rFonts w:ascii="Times New Roman" w:hAnsi="Times New Roman" w:cs="Times New Roman"/>
    </w:rPr>
  </w:style>
  <w:style w:type="paragraph" w:customStyle="1" w:styleId="GenL3">
    <w:name w:val="Gen L3"/>
    <w:aliases w:val="G3"/>
    <w:basedOn w:val="Normal"/>
    <w:rsid w:val="009D2F85"/>
    <w:pPr>
      <w:numPr>
        <w:ilvl w:val="2"/>
        <w:numId w:val="1"/>
      </w:numPr>
      <w:spacing w:after="240" w:line="240" w:lineRule="auto"/>
      <w:jc w:val="both"/>
      <w:outlineLvl w:val="2"/>
    </w:pPr>
    <w:rPr>
      <w:rFonts w:ascii="Times New Roman" w:hAnsi="Times New Roman" w:cs="Times New Roman"/>
    </w:rPr>
  </w:style>
  <w:style w:type="paragraph" w:customStyle="1" w:styleId="GenL4">
    <w:name w:val="Gen L4"/>
    <w:aliases w:val="G4"/>
    <w:basedOn w:val="Normal"/>
    <w:rsid w:val="009D2F85"/>
    <w:pPr>
      <w:numPr>
        <w:ilvl w:val="3"/>
        <w:numId w:val="1"/>
      </w:numPr>
      <w:spacing w:after="240" w:line="240" w:lineRule="auto"/>
      <w:jc w:val="both"/>
    </w:pPr>
    <w:rPr>
      <w:rFonts w:ascii="Times New Roman" w:hAnsi="Times New Roman" w:cs="Times New Roman"/>
    </w:rPr>
  </w:style>
  <w:style w:type="paragraph" w:customStyle="1" w:styleId="GenL5">
    <w:name w:val="Gen L5"/>
    <w:aliases w:val="G5"/>
    <w:basedOn w:val="Normal"/>
    <w:rsid w:val="009D2F85"/>
    <w:pPr>
      <w:numPr>
        <w:ilvl w:val="4"/>
        <w:numId w:val="1"/>
      </w:numPr>
      <w:spacing w:after="240" w:line="240" w:lineRule="auto"/>
      <w:jc w:val="both"/>
    </w:pPr>
    <w:rPr>
      <w:rFonts w:ascii="Times New Roman" w:hAnsi="Times New Roman" w:cs="Times New Roman"/>
    </w:rPr>
  </w:style>
  <w:style w:type="paragraph" w:customStyle="1" w:styleId="GenL6">
    <w:name w:val="Gen L6"/>
    <w:aliases w:val="G6"/>
    <w:basedOn w:val="Normal"/>
    <w:rsid w:val="009D2F85"/>
    <w:pPr>
      <w:numPr>
        <w:ilvl w:val="5"/>
        <w:numId w:val="1"/>
      </w:numPr>
      <w:spacing w:after="240" w:line="240" w:lineRule="auto"/>
      <w:jc w:val="both"/>
    </w:pPr>
    <w:rPr>
      <w:rFonts w:ascii="Times New Roman" w:hAnsi="Times New Roman" w:cs="Times New Roman"/>
    </w:rPr>
  </w:style>
  <w:style w:type="paragraph" w:customStyle="1" w:styleId="GenL7">
    <w:name w:val="Gen L7"/>
    <w:aliases w:val="G7"/>
    <w:basedOn w:val="Normal"/>
    <w:rsid w:val="009D2F85"/>
    <w:pPr>
      <w:numPr>
        <w:ilvl w:val="6"/>
        <w:numId w:val="1"/>
      </w:numPr>
      <w:spacing w:after="240" w:line="240" w:lineRule="auto"/>
      <w:jc w:val="both"/>
    </w:pPr>
    <w:rPr>
      <w:rFonts w:ascii="Times New Roman" w:hAnsi="Times New Roman" w:cs="Times New Roman"/>
    </w:rPr>
  </w:style>
  <w:style w:type="paragraph" w:customStyle="1" w:styleId="GenL8">
    <w:name w:val="Gen L8"/>
    <w:aliases w:val="G8"/>
    <w:basedOn w:val="Normal"/>
    <w:rsid w:val="009D2F85"/>
    <w:pPr>
      <w:numPr>
        <w:ilvl w:val="7"/>
        <w:numId w:val="1"/>
      </w:numPr>
      <w:spacing w:after="240" w:line="240" w:lineRule="auto"/>
      <w:jc w:val="both"/>
    </w:pPr>
    <w:rPr>
      <w:rFonts w:ascii="Times New Roman" w:hAnsi="Times New Roman" w:cs="Times New Roman"/>
    </w:rPr>
  </w:style>
  <w:style w:type="paragraph" w:customStyle="1" w:styleId="GenL9">
    <w:name w:val="Gen L9"/>
    <w:aliases w:val="G9"/>
    <w:basedOn w:val="Normal"/>
    <w:rsid w:val="009D2F85"/>
    <w:pPr>
      <w:widowControl w:val="0"/>
      <w:numPr>
        <w:ilvl w:val="8"/>
        <w:numId w:val="1"/>
      </w:numPr>
      <w:spacing w:after="240" w:line="240" w:lineRule="auto"/>
      <w:jc w:val="both"/>
    </w:pPr>
    <w:rPr>
      <w:rFonts w:ascii="Times New Roman" w:hAnsi="Times New Roman" w:cs="Times New Roman"/>
    </w:rPr>
  </w:style>
  <w:style w:type="numbering" w:customStyle="1" w:styleId="GenList">
    <w:name w:val="Gen List"/>
    <w:basedOn w:val="NoList"/>
    <w:rsid w:val="009D2F85"/>
    <w:pPr>
      <w:numPr>
        <w:numId w:val="2"/>
      </w:numPr>
    </w:pPr>
  </w:style>
  <w:style w:type="paragraph" w:customStyle="1" w:styleId="Default">
    <w:name w:val="Default"/>
    <w:rsid w:val="00F77B1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335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GenL1">
    <w:name w:val="Gen L1"/>
    <w:aliases w:val="G1"/>
    <w:basedOn w:val="Normal"/>
    <w:rsid w:val="009D2F85"/>
    <w:pPr>
      <w:numPr>
        <w:numId w:val="1"/>
      </w:numPr>
      <w:spacing w:after="240" w:line="240" w:lineRule="auto"/>
      <w:jc w:val="both"/>
      <w:outlineLvl w:val="0"/>
    </w:pPr>
    <w:rPr>
      <w:rFonts w:ascii="Times New Roman" w:hAnsi="Times New Roman" w:cs="Times New Roman"/>
    </w:rPr>
  </w:style>
  <w:style w:type="paragraph" w:customStyle="1" w:styleId="GenL2">
    <w:name w:val="Gen L2"/>
    <w:aliases w:val="G2"/>
    <w:basedOn w:val="Normal"/>
    <w:rsid w:val="009D2F85"/>
    <w:pPr>
      <w:numPr>
        <w:ilvl w:val="1"/>
        <w:numId w:val="1"/>
      </w:numPr>
      <w:spacing w:after="240" w:line="240" w:lineRule="auto"/>
      <w:jc w:val="both"/>
      <w:outlineLvl w:val="1"/>
    </w:pPr>
    <w:rPr>
      <w:rFonts w:ascii="Times New Roman" w:hAnsi="Times New Roman" w:cs="Times New Roman"/>
    </w:rPr>
  </w:style>
  <w:style w:type="paragraph" w:customStyle="1" w:styleId="GenL3">
    <w:name w:val="Gen L3"/>
    <w:aliases w:val="G3"/>
    <w:basedOn w:val="Normal"/>
    <w:rsid w:val="009D2F85"/>
    <w:pPr>
      <w:numPr>
        <w:ilvl w:val="2"/>
        <w:numId w:val="1"/>
      </w:numPr>
      <w:spacing w:after="240" w:line="240" w:lineRule="auto"/>
      <w:jc w:val="both"/>
      <w:outlineLvl w:val="2"/>
    </w:pPr>
    <w:rPr>
      <w:rFonts w:ascii="Times New Roman" w:hAnsi="Times New Roman" w:cs="Times New Roman"/>
    </w:rPr>
  </w:style>
  <w:style w:type="paragraph" w:customStyle="1" w:styleId="GenL4">
    <w:name w:val="Gen L4"/>
    <w:aliases w:val="G4"/>
    <w:basedOn w:val="Normal"/>
    <w:rsid w:val="009D2F85"/>
    <w:pPr>
      <w:numPr>
        <w:ilvl w:val="3"/>
        <w:numId w:val="1"/>
      </w:numPr>
      <w:spacing w:after="240" w:line="240" w:lineRule="auto"/>
      <w:jc w:val="both"/>
    </w:pPr>
    <w:rPr>
      <w:rFonts w:ascii="Times New Roman" w:hAnsi="Times New Roman" w:cs="Times New Roman"/>
    </w:rPr>
  </w:style>
  <w:style w:type="paragraph" w:customStyle="1" w:styleId="GenL5">
    <w:name w:val="Gen L5"/>
    <w:aliases w:val="G5"/>
    <w:basedOn w:val="Normal"/>
    <w:rsid w:val="009D2F85"/>
    <w:pPr>
      <w:numPr>
        <w:ilvl w:val="4"/>
        <w:numId w:val="1"/>
      </w:numPr>
      <w:spacing w:after="240" w:line="240" w:lineRule="auto"/>
      <w:jc w:val="both"/>
    </w:pPr>
    <w:rPr>
      <w:rFonts w:ascii="Times New Roman" w:hAnsi="Times New Roman" w:cs="Times New Roman"/>
    </w:rPr>
  </w:style>
  <w:style w:type="paragraph" w:customStyle="1" w:styleId="GenL6">
    <w:name w:val="Gen L6"/>
    <w:aliases w:val="G6"/>
    <w:basedOn w:val="Normal"/>
    <w:rsid w:val="009D2F85"/>
    <w:pPr>
      <w:numPr>
        <w:ilvl w:val="5"/>
        <w:numId w:val="1"/>
      </w:numPr>
      <w:spacing w:after="240" w:line="240" w:lineRule="auto"/>
      <w:jc w:val="both"/>
    </w:pPr>
    <w:rPr>
      <w:rFonts w:ascii="Times New Roman" w:hAnsi="Times New Roman" w:cs="Times New Roman"/>
    </w:rPr>
  </w:style>
  <w:style w:type="paragraph" w:customStyle="1" w:styleId="GenL7">
    <w:name w:val="Gen L7"/>
    <w:aliases w:val="G7"/>
    <w:basedOn w:val="Normal"/>
    <w:rsid w:val="009D2F85"/>
    <w:pPr>
      <w:numPr>
        <w:ilvl w:val="6"/>
        <w:numId w:val="1"/>
      </w:numPr>
      <w:spacing w:after="240" w:line="240" w:lineRule="auto"/>
      <w:jc w:val="both"/>
    </w:pPr>
    <w:rPr>
      <w:rFonts w:ascii="Times New Roman" w:hAnsi="Times New Roman" w:cs="Times New Roman"/>
    </w:rPr>
  </w:style>
  <w:style w:type="paragraph" w:customStyle="1" w:styleId="GenL8">
    <w:name w:val="Gen L8"/>
    <w:aliases w:val="G8"/>
    <w:basedOn w:val="Normal"/>
    <w:rsid w:val="009D2F85"/>
    <w:pPr>
      <w:numPr>
        <w:ilvl w:val="7"/>
        <w:numId w:val="1"/>
      </w:numPr>
      <w:spacing w:after="240" w:line="240" w:lineRule="auto"/>
      <w:jc w:val="both"/>
    </w:pPr>
    <w:rPr>
      <w:rFonts w:ascii="Times New Roman" w:hAnsi="Times New Roman" w:cs="Times New Roman"/>
    </w:rPr>
  </w:style>
  <w:style w:type="paragraph" w:customStyle="1" w:styleId="GenL9">
    <w:name w:val="Gen L9"/>
    <w:aliases w:val="G9"/>
    <w:basedOn w:val="Normal"/>
    <w:rsid w:val="009D2F85"/>
    <w:pPr>
      <w:widowControl w:val="0"/>
      <w:numPr>
        <w:ilvl w:val="8"/>
        <w:numId w:val="1"/>
      </w:numPr>
      <w:spacing w:after="240" w:line="240" w:lineRule="auto"/>
      <w:jc w:val="both"/>
    </w:pPr>
    <w:rPr>
      <w:rFonts w:ascii="Times New Roman" w:hAnsi="Times New Roman" w:cs="Times New Roman"/>
    </w:rPr>
  </w:style>
  <w:style w:type="numbering" w:customStyle="1" w:styleId="GenList">
    <w:name w:val="Gen List"/>
    <w:basedOn w:val="NoList"/>
    <w:rsid w:val="009D2F85"/>
    <w:pPr>
      <w:numPr>
        <w:numId w:val="2"/>
      </w:numPr>
    </w:pPr>
  </w:style>
  <w:style w:type="paragraph" w:customStyle="1" w:styleId="Default">
    <w:name w:val="Default"/>
    <w:rsid w:val="00F77B1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33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cm.ca/assets/library/Policy~Topics/First~Nations~Relations/First~Nations~Relations~Archive/Agreements/Grand%20River%20Notification%20Agreement%20backgrounder%201998.pdf"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haldimandcounty.on.ca/WorkArea/DownloadAsset.aspx?id=2099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2014-06-05T09:27:00+00:00</sentdate>
    <Superseded xmlns="e6cd7bd4-3f3e-4495-b8c9-139289cd76e6">false</Superseded>
    <Year xmlns="e6cd7bd4-3f3e-4495-b8c9-139289cd76e6" xsi:nil="true"/>
    <originator xmlns="e6cd7bd4-3f3e-4495-b8c9-139289cd76e6">scherzerr</originator>
    <policyNumber xmlns="e6cd7bd4-3f3e-4495-b8c9-139289cd76e6" xsi:nil="true"/>
    <documentNumber xmlns="e6cd7bd4-3f3e-4495-b8c9-139289cd76e6">GC_100014375</documentNumber>
    <Municipality xmlns="e6cd7bd4-3f3e-4495-b8c9-139289cd76e6" xsi:nil="true"/>
    <gcNumber xmlns="e6cd7bd4-3f3e-4495-b8c9-139289cd76e6">GC_231851</gcNumber>
    <recordCategory xmlns="e6cd7bd4-3f3e-4495-b8c9-139289cd76e6">C11</recordCategory>
    <isPublic xmlns="e6cd7bd4-3f3e-4495-b8c9-139289cd76e6">true</isPublic>
    <sharedId xmlns="e6cd7bd4-3f3e-4495-b8c9-139289cd76e6">wk16msFLRumOrnegm-MhUg</sharedId>
    <committee xmlns="e6cd7bd4-3f3e-4495-b8c9-139289cd76e6">Planning and Community Development Committee</committee>
    <meetingId xmlns="e6cd7bd4-3f3e-4495-b8c9-139289cd76e6">[2014-06-17 Planning &amp; Community Development [1029]]</meetingId>
    <capitalProjectPriority xmlns="e6cd7bd4-3f3e-4495-b8c9-139289cd76e6" xsi:nil="true"/>
    <policyApprovalDate xmlns="e6cd7bd4-3f3e-4495-b8c9-139289cd76e6" xsi:nil="true"/>
    <NodeRef xmlns="e6cd7bd4-3f3e-4495-b8c9-139289cd76e6">5c877894-cb39-4f63-8906-3fa2275947f9</NodeRef>
    <addressees xmlns="e6cd7bd4-3f3e-4495-b8c9-139289cd76e6" xsi:nil="true"/>
    <identifier xmlns="e6cd7bd4-3f3e-4495-b8c9-139289cd76e6">2016-1466887948220</identifier>
    <reviewAsOf xmlns="e6cd7bd4-3f3e-4495-b8c9-139289cd76e6">2026-11-08T08:38:11+00:00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C7167AA-E056-47C9-B77F-2DB0D9ABC12D}">
  <ds:schemaRefs>
    <ds:schemaRef ds:uri="http://schemas.openxmlformats.org/officeDocument/2006/bibliography"/>
  </ds:schemaRefs>
</ds:datastoreItem>
</file>

<file path=customXml/itemProps2.xml><?xml version="1.0" encoding="utf-8"?>
<ds:datastoreItem xmlns:ds="http://schemas.openxmlformats.org/officeDocument/2006/customXml" ds:itemID="{71FB6FD3-181A-4B9A-86A2-9B92CE3CEB54}"/>
</file>

<file path=customXml/itemProps3.xml><?xml version="1.0" encoding="utf-8"?>
<ds:datastoreItem xmlns:ds="http://schemas.openxmlformats.org/officeDocument/2006/customXml" ds:itemID="{54EDBE08-0E67-48E9-B346-5E4F3D100905}"/>
</file>

<file path=customXml/itemProps4.xml><?xml version="1.0" encoding="utf-8"?>
<ds:datastoreItem xmlns:ds="http://schemas.openxmlformats.org/officeDocument/2006/customXml" ds:itemID="{1A481B94-7A41-467F-86E7-2F19DC7F41A7}"/>
</file>

<file path=customXml/itemProps5.xml><?xml version="1.0" encoding="utf-8"?>
<ds:datastoreItem xmlns:ds="http://schemas.openxmlformats.org/officeDocument/2006/customXml" ds:itemID="{12932BDA-5F94-4FD2-AD83-EE43E2EEAA76}"/>
</file>

<file path=docProps/app.xml><?xml version="1.0" encoding="utf-8"?>
<Properties xmlns="http://schemas.openxmlformats.org/officeDocument/2006/extended-properties" xmlns:vt="http://schemas.openxmlformats.org/officeDocument/2006/docPropsVTypes">
  <Template>Normal</Template>
  <TotalTime>167</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2014-06-09T19:56:00Z</cp:lastPrinted>
  <dcterms:created xsi:type="dcterms:W3CDTF">2014-06-05T13:27:00Z</dcterms:created>
  <dcterms:modified xsi:type="dcterms:W3CDTF">2014-08-22T13:53:00Z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