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283E4C">
        <w:t>FR</w:t>
      </w:r>
      <w:r w:rsidRPr="00FB686F">
        <w:t>-</w:t>
      </w:r>
      <w:r w:rsidR="00283E4C">
        <w:t>CS</w:t>
      </w:r>
      <w:r w:rsidR="00A607A3">
        <w:t>-</w:t>
      </w:r>
      <w:r w:rsidR="005C1AE4">
        <w:t>3</w:t>
      </w:r>
      <w:r w:rsidR="00283E4C">
        <w:t>5</w:t>
      </w:r>
      <w:r w:rsidR="00A607A3">
        <w:t>-</w:t>
      </w:r>
      <w:r w:rsidR="00283E4C">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C0206D">
        <w:t>Chair Pringle and Members of the Corporate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C0206D">
        <w:t>Kevin Weppler, Director of Finance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CB7138">
        <w:t xml:space="preserve">November </w:t>
      </w:r>
      <w:r w:rsidR="00464B17">
        <w:t>1</w:t>
      </w:r>
      <w:r w:rsidR="00071024">
        <w:t>9</w:t>
      </w:r>
      <w:r w:rsidR="00C0206D">
        <w:t>,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C0206D">
        <w:rPr>
          <w:rStyle w:val="Strong"/>
        </w:rPr>
        <w:t>Sharing of Provincial Uploading of Social Services Costs</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071024">
        <w:t>Recommendation adopted as presented per Resolution CS89-14 November 19, 2014;</w:t>
      </w:r>
      <w:r w:rsidR="008B700A">
        <w:t xml:space="preserve"> Endorsed by County Council November 25, 2014 per Resolution CC165-14;</w:t>
      </w:r>
      <w:bookmarkStart w:id="0" w:name="_GoBack"/>
      <w:bookmarkEnd w:id="0"/>
    </w:p>
    <w:p w:rsidR="00AC3A8B" w:rsidRPr="00FB686F" w:rsidRDefault="00AC3A8B" w:rsidP="00AC3A8B">
      <w:pPr>
        <w:pStyle w:val="Heading2"/>
      </w:pPr>
      <w:r w:rsidRPr="00FB686F">
        <w:t>Recommendation(s)</w:t>
      </w:r>
    </w:p>
    <w:p w:rsidR="00F31CE5" w:rsidRDefault="00AC3A8B" w:rsidP="00AC3A8B">
      <w:pPr>
        <w:rPr>
          <w:b/>
        </w:rPr>
      </w:pPr>
      <w:r>
        <w:rPr>
          <w:b/>
        </w:rPr>
        <w:t>WHEREAS</w:t>
      </w:r>
      <w:r w:rsidR="00DF34D9">
        <w:rPr>
          <w:b/>
        </w:rPr>
        <w:t xml:space="preserve"> </w:t>
      </w:r>
      <w:r w:rsidR="00F31CE5">
        <w:rPr>
          <w:b/>
        </w:rPr>
        <w:t xml:space="preserve">under the Provincial-Municipal Fiscal and Service Delivery Review (PMFSDR), </w:t>
      </w:r>
      <w:r w:rsidR="00DF34D9">
        <w:rPr>
          <w:b/>
        </w:rPr>
        <w:t xml:space="preserve">the </w:t>
      </w:r>
      <w:r w:rsidR="00F31CE5">
        <w:rPr>
          <w:b/>
        </w:rPr>
        <w:t>Provincial Government, the Association of Municipalities of Ontario (AMO) and the City of Toronto worked together to examine and update provincial-municipal arrangements;</w:t>
      </w:r>
    </w:p>
    <w:p w:rsidR="00F31CE5" w:rsidRDefault="00F31CE5" w:rsidP="00AC3A8B">
      <w:pPr>
        <w:rPr>
          <w:b/>
        </w:rPr>
      </w:pPr>
      <w:r>
        <w:rPr>
          <w:b/>
        </w:rPr>
        <w:t>AND WHEREAS the Provincial-Municipal Fiscal and Service Delivery Review provided a new fiscal and service delivery partnership between the Province and Ontario municipalities;</w:t>
      </w:r>
    </w:p>
    <w:p w:rsidR="00100107" w:rsidRDefault="00F31CE5" w:rsidP="00AC3A8B">
      <w:pPr>
        <w:rPr>
          <w:b/>
        </w:rPr>
      </w:pPr>
      <w:r>
        <w:rPr>
          <w:b/>
        </w:rPr>
        <w:t xml:space="preserve">AND WHEREAS </w:t>
      </w:r>
      <w:r w:rsidR="00100107">
        <w:rPr>
          <w:b/>
        </w:rPr>
        <w:t xml:space="preserve">key fiscal outcomes from </w:t>
      </w:r>
      <w:r>
        <w:rPr>
          <w:b/>
        </w:rPr>
        <w:t xml:space="preserve">the Provincial-Municipal Fiscal and Service Delivery Review provided </w:t>
      </w:r>
      <w:r w:rsidR="00100107">
        <w:rPr>
          <w:b/>
        </w:rPr>
        <w:t xml:space="preserve">for </w:t>
      </w:r>
      <w:r>
        <w:rPr>
          <w:b/>
        </w:rPr>
        <w:t xml:space="preserve">the </w:t>
      </w:r>
      <w:r w:rsidR="00100107">
        <w:rPr>
          <w:b/>
        </w:rPr>
        <w:t xml:space="preserve">upload of Social Services costs and therefore </w:t>
      </w:r>
      <w:r w:rsidR="00F60A9D">
        <w:rPr>
          <w:b/>
        </w:rPr>
        <w:t xml:space="preserve">a reduction of </w:t>
      </w:r>
      <w:r w:rsidR="00100107">
        <w:rPr>
          <w:b/>
        </w:rPr>
        <w:t>the County’s municipal costs;</w:t>
      </w:r>
    </w:p>
    <w:p w:rsidR="00AD7D8E" w:rsidRDefault="00100107" w:rsidP="00AC3A8B">
      <w:pPr>
        <w:rPr>
          <w:b/>
        </w:rPr>
      </w:pPr>
      <w:r>
        <w:rPr>
          <w:b/>
        </w:rPr>
        <w:t xml:space="preserve">AND WHEREAS </w:t>
      </w:r>
      <w:r w:rsidR="00024A6A">
        <w:rPr>
          <w:b/>
        </w:rPr>
        <w:t xml:space="preserve">County Council </w:t>
      </w:r>
      <w:r w:rsidR="00024A6A" w:rsidRPr="00144AAE">
        <w:rPr>
          <w:b/>
        </w:rPr>
        <w:t xml:space="preserve">endorsed a recommendation on </w:t>
      </w:r>
      <w:r w:rsidR="00144AAE" w:rsidRPr="00144AAE">
        <w:rPr>
          <w:b/>
        </w:rPr>
        <w:t>January 3, 2012</w:t>
      </w:r>
      <w:r w:rsidR="00024A6A" w:rsidRPr="00144AAE">
        <w:rPr>
          <w:b/>
        </w:rPr>
        <w:t xml:space="preserve"> that</w:t>
      </w:r>
      <w:r w:rsidR="00024A6A">
        <w:rPr>
          <w:b/>
        </w:rPr>
        <w:t xml:space="preserve"> </w:t>
      </w:r>
      <w:r>
        <w:rPr>
          <w:b/>
        </w:rPr>
        <w:t xml:space="preserve">beginning in 2012 these uploaded savings be transferred to a corporate capital infrastructure reserve to address the County’s infrastructure deficit </w:t>
      </w:r>
      <w:r w:rsidR="00AD7D8E">
        <w:rPr>
          <w:b/>
        </w:rPr>
        <w:t xml:space="preserve">and to assist </w:t>
      </w:r>
      <w:r>
        <w:rPr>
          <w:b/>
        </w:rPr>
        <w:t xml:space="preserve">in </w:t>
      </w:r>
      <w:r w:rsidR="00AD7D8E">
        <w:rPr>
          <w:b/>
        </w:rPr>
        <w:t xml:space="preserve">reducing </w:t>
      </w:r>
      <w:r>
        <w:rPr>
          <w:b/>
        </w:rPr>
        <w:t>the County’s future budgetary increases</w:t>
      </w:r>
      <w:r w:rsidR="00AD7D8E">
        <w:rPr>
          <w:b/>
        </w:rPr>
        <w:t>;</w:t>
      </w:r>
    </w:p>
    <w:p w:rsidR="00AA32AA" w:rsidRDefault="00AD7D8E" w:rsidP="00AC3A8B">
      <w:pPr>
        <w:rPr>
          <w:b/>
        </w:rPr>
      </w:pPr>
      <w:r>
        <w:rPr>
          <w:b/>
        </w:rPr>
        <w:t>AND WHEREAS as part of the Provincial-Municipal Fiscal Service Delivery the Ontario Municipal Partnership Funding has</w:t>
      </w:r>
      <w:r w:rsidR="00AA32AA">
        <w:rPr>
          <w:b/>
        </w:rPr>
        <w:t xml:space="preserve"> been responsive to the reduction in municipal costs as the uploads are phased-in;</w:t>
      </w:r>
    </w:p>
    <w:p w:rsidR="00AA32AA" w:rsidRDefault="00AA32AA" w:rsidP="00AC3A8B">
      <w:pPr>
        <w:rPr>
          <w:b/>
        </w:rPr>
      </w:pPr>
      <w:r>
        <w:rPr>
          <w:b/>
        </w:rPr>
        <w:t xml:space="preserve">AND WHEREAS the reduction in Ontario Municipal Partnership Funding is placing </w:t>
      </w:r>
      <w:r w:rsidR="006C676C">
        <w:rPr>
          <w:b/>
        </w:rPr>
        <w:t>a significant tax burden on local municipal budgets,</w:t>
      </w:r>
    </w:p>
    <w:p w:rsidR="00F95D06" w:rsidRDefault="00F95D06" w:rsidP="00AC3A8B">
      <w:pPr>
        <w:rPr>
          <w:b/>
        </w:rPr>
      </w:pPr>
      <w:r>
        <w:rPr>
          <w:b/>
        </w:rPr>
        <w:lastRenderedPageBreak/>
        <w:t xml:space="preserve">NOW THEREFORE IT BE RESOLVED THAT Report FR-CS-35-14 regarding the Sharing of the Provincial Uploading of Social Services Costs </w:t>
      </w:r>
      <w:proofErr w:type="gramStart"/>
      <w:r>
        <w:rPr>
          <w:b/>
        </w:rPr>
        <w:t>be</w:t>
      </w:r>
      <w:proofErr w:type="gramEnd"/>
      <w:r>
        <w:rPr>
          <w:b/>
        </w:rPr>
        <w:t xml:space="preserve"> received:</w:t>
      </w:r>
    </w:p>
    <w:p w:rsidR="006C676C" w:rsidRDefault="00F95D06" w:rsidP="00AC3A8B">
      <w:pPr>
        <w:rPr>
          <w:b/>
        </w:rPr>
      </w:pPr>
      <w:r>
        <w:rPr>
          <w:b/>
        </w:rPr>
        <w:t xml:space="preserve">AND THAT </w:t>
      </w:r>
      <w:r w:rsidR="006C676C">
        <w:rPr>
          <w:b/>
        </w:rPr>
        <w:t xml:space="preserve">in order to reduce future tax burden on local municipalities as the phase-down </w:t>
      </w:r>
      <w:r w:rsidR="003A039D">
        <w:rPr>
          <w:b/>
        </w:rPr>
        <w:t>of</w:t>
      </w:r>
      <w:r w:rsidR="006C676C">
        <w:rPr>
          <w:b/>
        </w:rPr>
        <w:t xml:space="preserve"> the Ontario Municipal Partnership Funding continues, that the following actions be recommended </w:t>
      </w:r>
      <w:r w:rsidR="00F60A9D">
        <w:rPr>
          <w:b/>
        </w:rPr>
        <w:t>for inclusion</w:t>
      </w:r>
      <w:r w:rsidR="006C676C">
        <w:rPr>
          <w:b/>
        </w:rPr>
        <w:t xml:space="preserve"> in the 2015 budget for </w:t>
      </w:r>
      <w:r w:rsidR="005C1AE4">
        <w:rPr>
          <w:b/>
        </w:rPr>
        <w:t xml:space="preserve">the </w:t>
      </w:r>
      <w:r w:rsidR="006C676C">
        <w:rPr>
          <w:b/>
        </w:rPr>
        <w:t>incoming Council’s consideration:</w:t>
      </w:r>
    </w:p>
    <w:p w:rsidR="00517490" w:rsidRDefault="006C676C" w:rsidP="006C676C">
      <w:pPr>
        <w:pStyle w:val="ListParagraph"/>
        <w:numPr>
          <w:ilvl w:val="0"/>
          <w:numId w:val="5"/>
        </w:numPr>
        <w:rPr>
          <w:b/>
        </w:rPr>
      </w:pPr>
      <w:r>
        <w:rPr>
          <w:b/>
        </w:rPr>
        <w:t xml:space="preserve">Include in the County’s 2015 budget, a reduction of </w:t>
      </w:r>
      <w:r w:rsidR="00517490">
        <w:rPr>
          <w:b/>
        </w:rPr>
        <w:t>$2,323,236 in taxation with the removal of the transfer to reserve for future capital.  This will provide an estimated 4.47% levy reduction tha</w:t>
      </w:r>
      <w:r w:rsidR="005C1AE4">
        <w:rPr>
          <w:b/>
        </w:rPr>
        <w:t>t</w:t>
      </w:r>
      <w:r w:rsidR="00517490">
        <w:rPr>
          <w:b/>
        </w:rPr>
        <w:t xml:space="preserve"> would assist local municipalities in offsetting future losses of Ontario Municipal Partnership Funding.</w:t>
      </w:r>
    </w:p>
    <w:p w:rsidR="00517490" w:rsidRDefault="00517490" w:rsidP="006C676C">
      <w:pPr>
        <w:pStyle w:val="ListParagraph"/>
        <w:numPr>
          <w:ilvl w:val="0"/>
          <w:numId w:val="5"/>
        </w:numPr>
        <w:rPr>
          <w:b/>
        </w:rPr>
      </w:pPr>
      <w:r>
        <w:rPr>
          <w:b/>
        </w:rPr>
        <w:t xml:space="preserve">Utilize any 2015-2018 budget savings realized as a result of the upload of social services costs to reduce the County’s budgeted levy requirements.  </w:t>
      </w:r>
    </w:p>
    <w:p w:rsidR="00AC3A8B" w:rsidRPr="006C676C" w:rsidRDefault="00517490" w:rsidP="006C676C">
      <w:pPr>
        <w:pStyle w:val="ListParagraph"/>
        <w:numPr>
          <w:ilvl w:val="0"/>
          <w:numId w:val="5"/>
        </w:numPr>
        <w:rPr>
          <w:b/>
        </w:rPr>
      </w:pPr>
      <w:r>
        <w:rPr>
          <w:b/>
        </w:rPr>
        <w:t>Distribute in 2015</w:t>
      </w:r>
      <w:r w:rsidR="00C30D1C">
        <w:rPr>
          <w:b/>
        </w:rPr>
        <w:t xml:space="preserve">, $2,825,743 or 50% of </w:t>
      </w:r>
      <w:r>
        <w:rPr>
          <w:b/>
        </w:rPr>
        <w:t xml:space="preserve">the </w:t>
      </w:r>
      <w:r w:rsidRPr="00170B08">
        <w:rPr>
          <w:b/>
        </w:rPr>
        <w:t>$5,</w:t>
      </w:r>
      <w:r w:rsidR="00170B08" w:rsidRPr="00170B08">
        <w:rPr>
          <w:b/>
        </w:rPr>
        <w:t>651</w:t>
      </w:r>
      <w:r w:rsidRPr="00170B08">
        <w:rPr>
          <w:b/>
        </w:rPr>
        <w:t>,</w:t>
      </w:r>
      <w:r w:rsidR="00170B08" w:rsidRPr="00170B08">
        <w:rPr>
          <w:b/>
        </w:rPr>
        <w:t>486</w:t>
      </w:r>
      <w:r>
        <w:rPr>
          <w:b/>
        </w:rPr>
        <w:t xml:space="preserve"> </w:t>
      </w:r>
      <w:r w:rsidR="00100FCB">
        <w:rPr>
          <w:b/>
        </w:rPr>
        <w:t xml:space="preserve">in </w:t>
      </w:r>
      <w:r>
        <w:rPr>
          <w:b/>
        </w:rPr>
        <w:t>provincial social services uploaded savings that ha</w:t>
      </w:r>
      <w:r w:rsidR="00F60A9D">
        <w:rPr>
          <w:b/>
        </w:rPr>
        <w:t>s</w:t>
      </w:r>
      <w:r>
        <w:rPr>
          <w:b/>
        </w:rPr>
        <w:t xml:space="preserve"> been placed in the County’s Future Infrastructure Reserve to each local municipality based on the assessment values that the County utilizes to calculate taxation.  Th</w:t>
      </w:r>
      <w:r w:rsidR="00C12AC0">
        <w:rPr>
          <w:b/>
        </w:rPr>
        <w:t>is</w:t>
      </w:r>
      <w:r>
        <w:rPr>
          <w:b/>
        </w:rPr>
        <w:t xml:space="preserve"> will place funds back into the hands of local municipalities to provide funding for projects that may have not been undertaken, as projects may have been delayed or removed from local budget plans to accommodate the loss in Ontario</w:t>
      </w:r>
      <w:r w:rsidR="00735CE1">
        <w:rPr>
          <w:b/>
        </w:rPr>
        <w:t xml:space="preserve"> Municipal Partnership Funding.  The recommendation of allocating 50% of these reserve funds would also then provide future County budgets with infrastructure funding to aid its infrastructure deficit and to assist in transitioning budgetary capital increases that are required as per the County’s Asset Management Plan.</w:t>
      </w:r>
      <w:r>
        <w:rPr>
          <w:b/>
        </w:rPr>
        <w:t xml:space="preserve"> </w:t>
      </w:r>
    </w:p>
    <w:p w:rsidR="00AC3A8B" w:rsidRDefault="00AC3A8B" w:rsidP="00AC3A8B">
      <w:pPr>
        <w:pStyle w:val="Heading2"/>
      </w:pPr>
      <w:r w:rsidRPr="00B0378D">
        <w:t>Background</w:t>
      </w:r>
    </w:p>
    <w:p w:rsidR="00AC3A8B" w:rsidRDefault="00C0206D" w:rsidP="00AC3A8B">
      <w:r>
        <w:t xml:space="preserve">In December 2006, the provincial government, the Association of Municipalities of Ontario (AMO) and the City of Toronto began working together to review, examine and update provincial-municipal arrangements.  </w:t>
      </w:r>
    </w:p>
    <w:p w:rsidR="00C0206D" w:rsidRDefault="00C0206D" w:rsidP="00AC3A8B">
      <w:r>
        <w:t xml:space="preserve">There were key fiscal outcomes from this </w:t>
      </w:r>
      <w:r w:rsidR="0009759F">
        <w:t xml:space="preserve">Provincial-Municipal Fiscal and Service Delivery Review (PMFSDR) </w:t>
      </w:r>
      <w:r>
        <w:t>that resulted in the following:</w:t>
      </w:r>
    </w:p>
    <w:p w:rsidR="00C0206D" w:rsidRDefault="00C0206D" w:rsidP="00C0206D">
      <w:pPr>
        <w:pStyle w:val="ListParagraph"/>
        <w:numPr>
          <w:ilvl w:val="0"/>
          <w:numId w:val="1"/>
        </w:numPr>
      </w:pPr>
      <w:r>
        <w:t>Ontario Works benefit costs (including employment assistance) would be</w:t>
      </w:r>
      <w:r w:rsidR="001E41E0">
        <w:t xml:space="preserve">gin to be uploaded in 2010 and be </w:t>
      </w:r>
      <w:r>
        <w:t xml:space="preserve">fully uploaded </w:t>
      </w:r>
      <w:r w:rsidR="001E41E0">
        <w:t>by 2018</w:t>
      </w:r>
      <w:r>
        <w:t xml:space="preserve">.  This was in addition to the </w:t>
      </w:r>
      <w:r>
        <w:lastRenderedPageBreak/>
        <w:t>already announced upload of Ontario Drug Benefits (ODB) and the Ontario Disability Support Program (ODSP).</w:t>
      </w:r>
    </w:p>
    <w:p w:rsidR="00C0206D" w:rsidRDefault="00C0206D" w:rsidP="00C0206D">
      <w:pPr>
        <w:pStyle w:val="ListParagraph"/>
        <w:numPr>
          <w:ilvl w:val="0"/>
          <w:numId w:val="1"/>
        </w:numPr>
      </w:pPr>
      <w:r>
        <w:t>The cost of court security, including prisoner transfer, would also be uploaded to the Province beginning in 2012 to a maximum of $125 million a year by 2018.</w:t>
      </w:r>
    </w:p>
    <w:p w:rsidR="00C0206D" w:rsidRDefault="00C0206D" w:rsidP="00C0206D">
      <w:pPr>
        <w:pStyle w:val="ListParagraph"/>
        <w:numPr>
          <w:ilvl w:val="0"/>
          <w:numId w:val="1"/>
        </w:numPr>
      </w:pPr>
      <w:r>
        <w:t>The Ontario Municipal Partnership Fund (OMPF) social program grant would decline in response to the upload of ODSP/ODB and Ontario Works.</w:t>
      </w:r>
    </w:p>
    <w:p w:rsidR="00C0206D" w:rsidRDefault="00C0206D" w:rsidP="00C0206D">
      <w:pPr>
        <w:pStyle w:val="ListParagraph"/>
        <w:numPr>
          <w:ilvl w:val="0"/>
          <w:numId w:val="1"/>
        </w:numPr>
      </w:pPr>
      <w:r>
        <w:t>OMPF base/equalization funding of approximately $500M/year would be maintained.</w:t>
      </w:r>
    </w:p>
    <w:p w:rsidR="00C0206D" w:rsidRDefault="00C0206D" w:rsidP="00C0206D">
      <w:pPr>
        <w:pStyle w:val="ListParagraph"/>
        <w:numPr>
          <w:ilvl w:val="0"/>
          <w:numId w:val="1"/>
        </w:numPr>
      </w:pPr>
      <w:r>
        <w:t>The Province would extend the OMPF “stable funding guarantee” for 2009.</w:t>
      </w:r>
    </w:p>
    <w:p w:rsidR="00C0206D" w:rsidRDefault="00C0206D" w:rsidP="00C0206D">
      <w:r>
        <w:t>It was expected this Provincial uploading announcement would provide a positive impact to the County’s 2009 budget.</w:t>
      </w:r>
    </w:p>
    <w:p w:rsidR="00AD45B4" w:rsidRDefault="00C0206D" w:rsidP="00C0206D">
      <w:r>
        <w:t xml:space="preserve">However, as noted in the OMPF details, while the County was to have uploaded </w:t>
      </w:r>
      <w:r w:rsidR="00AD45B4">
        <w:t>$835,000 in Provincial ODSP Administration costs in the 2009 budget year, it was not generally known that the County would also lose $2,009,000 of its OMPF grant in 2009.  Along with this loss of funding, the economy was entering into a recession which saw the County’s 2009 OW and ODSP caseload costs for benefits paid to recipients increase with the County continuing to share in these benefit costs.</w:t>
      </w:r>
    </w:p>
    <w:p w:rsidR="00AD45B4" w:rsidRDefault="00AD45B4" w:rsidP="00C0206D">
      <w:r>
        <w:t>Given the property tax increase that would be required for 2009 with the loss in OMPF funding and knowing that the Province would be uploading ODSP and OW support costs in 2010-2018, County Council approved a Stable Funding Plan that would mitigate the amount of County tax increase needed</w:t>
      </w:r>
      <w:r w:rsidR="001E41E0">
        <w:t xml:space="preserve">.  This </w:t>
      </w:r>
      <w:r w:rsidR="00112A08">
        <w:t xml:space="preserve">Plan provided a </w:t>
      </w:r>
      <w:r w:rsidR="001E41E0">
        <w:t xml:space="preserve">funding mechanism </w:t>
      </w:r>
      <w:r>
        <w:t>to decrease the amount of social services costs to be taxed in 2009 as compared in 2008.</w:t>
      </w:r>
    </w:p>
    <w:p w:rsidR="00AD45B4" w:rsidRDefault="00AD45B4" w:rsidP="00C0206D">
      <w:r>
        <w:t>The Stable Funding Plan approved by County Council and implemented was as follows:</w:t>
      </w:r>
    </w:p>
    <w:p w:rsidR="00C0206D" w:rsidRDefault="00AD45B4" w:rsidP="00AD45B4">
      <w:pPr>
        <w:pStyle w:val="ListParagraph"/>
        <w:numPr>
          <w:ilvl w:val="0"/>
          <w:numId w:val="3"/>
        </w:numPr>
      </w:pPr>
      <w:r>
        <w:t>For 2009, 2010 and 2011 use the existing OW Caseload Reserve Fund to fund as much of the 2009 increased cost to the County of a rising OW and ODSP caseload.  For 2009 a Transfer from Reserve in the amount of $519,700 was budgeted for this purpose.</w:t>
      </w:r>
    </w:p>
    <w:p w:rsidR="00AD45B4" w:rsidRDefault="00AD45B4" w:rsidP="00AD45B4">
      <w:pPr>
        <w:pStyle w:val="ListParagraph"/>
        <w:numPr>
          <w:ilvl w:val="0"/>
          <w:numId w:val="3"/>
        </w:numPr>
      </w:pPr>
      <w:r>
        <w:t>The loss of $2,009,700 in OMPF funding would not be borne by the taxation year 2009 alone</w:t>
      </w:r>
      <w:r w:rsidR="001E41E0">
        <w:t>.  A plan was developed t</w:t>
      </w:r>
      <w:r>
        <w:t xml:space="preserve">hat would spread the OMPF loss in </w:t>
      </w:r>
      <w:proofErr w:type="gramStart"/>
      <w:r>
        <w:t>funding,</w:t>
      </w:r>
      <w:proofErr w:type="gramEnd"/>
      <w:r>
        <w:t xml:space="preserve"> a total of $2,800,000 over the same period the County was to realize its uploaded savings.  This would mean deferring a portion of this loss in funding to future budget years and this was done by borrowing from the County’</w:t>
      </w:r>
      <w:r w:rsidR="001148BE">
        <w:t>s overall reserves.  The borrowing would be repaid when savings were realized with the uploading of social service costs.</w:t>
      </w:r>
    </w:p>
    <w:p w:rsidR="00792983" w:rsidRDefault="00792983" w:rsidP="00AC3A8B">
      <w:r>
        <w:lastRenderedPageBreak/>
        <w:t xml:space="preserve">Grey County’s </w:t>
      </w:r>
      <w:r w:rsidR="00112A08">
        <w:t>S</w:t>
      </w:r>
      <w:r>
        <w:t xml:space="preserve">table </w:t>
      </w:r>
      <w:r w:rsidR="00112A08">
        <w:t>Fu</w:t>
      </w:r>
      <w:r>
        <w:t xml:space="preserve">nding </w:t>
      </w:r>
      <w:r w:rsidR="00112A08">
        <w:t>P</w:t>
      </w:r>
      <w:r>
        <w:t>lan had been developed deliberately</w:t>
      </w:r>
      <w:r w:rsidR="00713A50">
        <w:t>,</w:t>
      </w:r>
      <w:r>
        <w:t xml:space="preserve"> to keep the County’s tax rate low, with the faith that the Province would be able to keep its uploading promises.  By utilizing this Stable Funding Plan, the County was able to repay the borrowing it had implemented from the County’s reserves by </w:t>
      </w:r>
      <w:r w:rsidR="001957C3">
        <w:t xml:space="preserve">utilizing the uploaded savings in social services costs to repay </w:t>
      </w:r>
      <w:r>
        <w:t>$1,977,019 in the 2011 budget and the remaining $625,788 in the 2012 budget.</w:t>
      </w:r>
    </w:p>
    <w:p w:rsidR="00A16FC9" w:rsidRDefault="001957C3" w:rsidP="00A16FC9">
      <w:r>
        <w:t>With the final borrowing repayment being realized in 2012, and a</w:t>
      </w:r>
      <w:r w:rsidR="00792983">
        <w:t>s part of the 2012</w:t>
      </w:r>
      <w:r w:rsidR="008E4C7F">
        <w:t>, 2013 and 20</w:t>
      </w:r>
      <w:r>
        <w:t>14 budget</w:t>
      </w:r>
      <w:r w:rsidR="00F608B3">
        <w:t>s</w:t>
      </w:r>
      <w:r w:rsidR="00792983" w:rsidRPr="00735CE1">
        <w:t xml:space="preserve">, </w:t>
      </w:r>
      <w:r w:rsidR="00024A6A" w:rsidRPr="00735CE1">
        <w:t xml:space="preserve">Council approved </w:t>
      </w:r>
      <w:r w:rsidR="00792983" w:rsidRPr="00735CE1">
        <w:t>the Director of Finance</w:t>
      </w:r>
      <w:r w:rsidR="00735CE1">
        <w:t>’s</w:t>
      </w:r>
      <w:r w:rsidR="00792983" w:rsidRPr="00735CE1">
        <w:t xml:space="preserve"> recommend</w:t>
      </w:r>
      <w:r w:rsidR="00735CE1">
        <w:t>ation</w:t>
      </w:r>
      <w:r w:rsidR="00792983" w:rsidRPr="00735CE1">
        <w:t xml:space="preserve"> that the</w:t>
      </w:r>
      <w:r w:rsidRPr="00735CE1">
        <w:t>se</w:t>
      </w:r>
      <w:r w:rsidR="00792983" w:rsidRPr="00735CE1">
        <w:t xml:space="preserve"> </w:t>
      </w:r>
      <w:r w:rsidRPr="00735CE1">
        <w:t>uploaded social service savings be</w:t>
      </w:r>
      <w:r w:rsidR="00F608B3" w:rsidRPr="00735CE1">
        <w:t>ing realized be</w:t>
      </w:r>
      <w:r w:rsidRPr="00735CE1">
        <w:t xml:space="preserve"> transferred to a corporate capital infrastructure reserve</w:t>
      </w:r>
      <w:r w:rsidR="00024A6A" w:rsidRPr="00735CE1">
        <w:t xml:space="preserve"> on th</w:t>
      </w:r>
      <w:r w:rsidR="00735CE1">
        <w:t>e</w:t>
      </w:r>
      <w:r w:rsidR="00024A6A" w:rsidRPr="00735CE1">
        <w:t xml:space="preserve"> basis that the County’s asset management plan had not been completed and the full extent of the County’s infrastructure deficit was unknown</w:t>
      </w:r>
      <w:r w:rsidR="00A16FC9" w:rsidRPr="00735CE1">
        <w:t>.</w:t>
      </w:r>
    </w:p>
    <w:p w:rsidR="00A16FC9" w:rsidRDefault="001957C3" w:rsidP="00A16FC9">
      <w:r>
        <w:t>This has resulted in the 2014 budget containing a transfer to reserve in the amount of $2,</w:t>
      </w:r>
      <w:r w:rsidR="002D6AA1">
        <w:t>323</w:t>
      </w:r>
      <w:r>
        <w:t>,</w:t>
      </w:r>
      <w:r w:rsidR="002D6AA1">
        <w:t>236</w:t>
      </w:r>
      <w:r w:rsidR="00F303E1">
        <w:t>, with a total from 2012-2014 of $</w:t>
      </w:r>
      <w:r w:rsidR="002D6AA1">
        <w:t>5</w:t>
      </w:r>
      <w:r w:rsidR="00F303E1">
        <w:t>,</w:t>
      </w:r>
      <w:r w:rsidR="002D6AA1">
        <w:t>651</w:t>
      </w:r>
      <w:r w:rsidR="00F303E1">
        <w:t>,</w:t>
      </w:r>
      <w:r w:rsidR="002D6AA1">
        <w:t>486</w:t>
      </w:r>
      <w:r w:rsidR="00F303E1">
        <w:t xml:space="preserve"> being transferred to reserve.</w:t>
      </w:r>
      <w:r w:rsidR="00A16FC9">
        <w:t xml:space="preserve">  The transferring of uploaded savings to reserve was recommended by the Director of Finance in an attempt to reduce the County’s tax rate increases that would be required in the future and to address the County’s growing shortfall in infrastructure spending.  </w:t>
      </w:r>
      <w:r w:rsidR="00CB7138">
        <w:t>The intent was that o</w:t>
      </w:r>
      <w:r w:rsidR="00A16FC9">
        <w:t>nce the County had completed an asset management plan</w:t>
      </w:r>
      <w:r w:rsidR="008E4C7F">
        <w:t>,</w:t>
      </w:r>
      <w:r w:rsidR="00A16FC9">
        <w:t xml:space="preserve"> th</w:t>
      </w:r>
      <w:r w:rsidR="008E4C7F">
        <w:t xml:space="preserve">is plan </w:t>
      </w:r>
      <w:r w:rsidR="00A16FC9">
        <w:t xml:space="preserve">would </w:t>
      </w:r>
      <w:r w:rsidR="008E4C7F">
        <w:t xml:space="preserve">then </w:t>
      </w:r>
      <w:r w:rsidR="00A16FC9">
        <w:t xml:space="preserve">provide </w:t>
      </w:r>
      <w:r w:rsidR="008E4C7F">
        <w:t>documentation</w:t>
      </w:r>
      <w:r w:rsidR="00A16FC9">
        <w:t xml:space="preserve"> on the County’s infrastructure deficit</w:t>
      </w:r>
      <w:r w:rsidR="008E4C7F">
        <w:t>,</w:t>
      </w:r>
      <w:r w:rsidR="00A16FC9">
        <w:t xml:space="preserve"> </w:t>
      </w:r>
      <w:r w:rsidR="00170B08">
        <w:t xml:space="preserve">identify priorities, </w:t>
      </w:r>
      <w:r w:rsidR="008E4C7F">
        <w:t xml:space="preserve">and facilitate </w:t>
      </w:r>
      <w:r w:rsidR="00A16FC9">
        <w:t xml:space="preserve">recommendations on the use of this funding.  </w:t>
      </w:r>
    </w:p>
    <w:p w:rsidR="00A4193B" w:rsidRDefault="00A4193B" w:rsidP="00AC3A8B">
      <w:r>
        <w:t xml:space="preserve">The County also recognized the need to be fiscally responsible and over the past eight years (2007-2014) has provided, on average, a County tax rate increase of 1.0698%.  In </w:t>
      </w:r>
      <w:r w:rsidR="00C65DB1">
        <w:t>addition, the County since 2009</w:t>
      </w:r>
      <w:r>
        <w:t xml:space="preserve"> has provided approximately $2.5 million in caseload reserve funding to aid the County budget to offset the increases in Ontario Works caseload costs which have occurred, with another $200,000 in annual funding proposed to be transferred from reserve over the 2015, 2016 &amp; 2017 budget years.</w:t>
      </w:r>
    </w:p>
    <w:p w:rsidR="005E0067" w:rsidRDefault="008C5CE9" w:rsidP="00AC3A8B">
      <w:r>
        <w:t xml:space="preserve">The Asset Management Plan for the County of Grey </w:t>
      </w:r>
      <w:r w:rsidR="00A4193B">
        <w:t xml:space="preserve">has now been completed and meets all requirements as outlined within the provincial </w:t>
      </w:r>
      <w:r w:rsidR="00A4193B">
        <w:rPr>
          <w:i/>
        </w:rPr>
        <w:t>Building Together Guide for Municipal Asset Management Plans.</w:t>
      </w:r>
      <w:r w:rsidR="00A4193B">
        <w:t xml:space="preserve">  This plan </w:t>
      </w:r>
      <w:r>
        <w:t>was endorsed by County Council on June 3, 2014.</w:t>
      </w:r>
      <w:r w:rsidR="005E0067">
        <w:t xml:space="preserve">  This plan assessed the County’s state of its infrastructure and the County’s financial capacity to fund the asset’s average annual requirement for sustainability.  A report card was then generated where the County received a cumulative GPA of ‘D+’, with an annual infrastructure deficit of $14 million.  The County received an ‘F’ on the Funding vs. Need dimension for both its road network and bridges and culverts; for its social housing assets, the County received a ‘B’, funding more than 90% of its annual needs.</w:t>
      </w:r>
    </w:p>
    <w:p w:rsidR="004874E8" w:rsidRDefault="005E0067" w:rsidP="00AC3A8B">
      <w:r>
        <w:t xml:space="preserve">According to the plan, the average annual investment requirement for paved roads, bridges and culverts, and social housing is $23,353,000.  Annual revenue currently </w:t>
      </w:r>
      <w:r>
        <w:lastRenderedPageBreak/>
        <w:t>allocated to these assets for capital purposes is $9,441,500 leaving an annual deficit of $13,911,500.  To put it another way, these infrastructure categories are currently funded at 40% of their long-term requirements.  Without consideration of any other sources of revenue, full funding would require a combined increase of 27.3% over time.  This would equate to increasing tax revenues by 1.8% each year for the next 15 years solely for the purpose of phasing in the full funding to the asset categories covered in the plan.</w:t>
      </w:r>
    </w:p>
    <w:p w:rsidR="00A16FC9" w:rsidRDefault="00A4193B" w:rsidP="00AC3A8B">
      <w:r>
        <w:t xml:space="preserve">While the transferring of uploaded social service savings being transferred to a corporate capital infrastructure reserve would provide needed funding to address the County’s infrastructure deficit, it would take a number of years for local municipalities to realize the benefit of these uploaded social service costs with the County utilizing these funds to reduce future capital funding requirements.  </w:t>
      </w:r>
    </w:p>
    <w:p w:rsidR="006A4FE0" w:rsidRPr="00580AAD" w:rsidRDefault="006A4FE0" w:rsidP="006A4FE0">
      <w:pPr>
        <w:pStyle w:val="Heading3"/>
      </w:pPr>
      <w:r>
        <w:t xml:space="preserve">Provincial-Municipal Fiscal and Service Delivery Review and OMPF Funding </w:t>
      </w:r>
    </w:p>
    <w:p w:rsidR="009548D1" w:rsidRDefault="009548D1" w:rsidP="00AC3A8B">
      <w:r>
        <w:t xml:space="preserve">The OMPF was included as part of the Provincial-Municipal Fiscal and Service Delivery Review </w:t>
      </w:r>
      <w:r w:rsidR="006A4FE0">
        <w:t>(</w:t>
      </w:r>
      <w:r>
        <w:t xml:space="preserve">PMFSDR) and as a result the recommendations implemented from the review would affect the OMPF program in future years.  </w:t>
      </w:r>
    </w:p>
    <w:p w:rsidR="00AC3A8B" w:rsidRPr="00580AAD" w:rsidRDefault="009548D1" w:rsidP="00FD2730">
      <w:r>
        <w:t xml:space="preserve">As part of the PMFSDR review, partners agreed to the key principle that the OMPF should remain responsive to changes in municipal circumstances, such as the upload of ODB, ODSP and OW benefits.  Therefore, consistent with the normal operation of the OMPF, the social programs grants would be adjusted to reflect the reduction in municipal costs for these programs as they are phased-in.  </w:t>
      </w:r>
    </w:p>
    <w:p w:rsidR="00AC3A8B" w:rsidRDefault="007F676A" w:rsidP="00AC3A8B">
      <w:r>
        <w:t xml:space="preserve">In early 2012, the </w:t>
      </w:r>
      <w:r w:rsidR="00112A08">
        <w:t>P</w:t>
      </w:r>
      <w:r>
        <w:t>rovince announced the review of the OMPF and the phase-down of the program to $500 million by 2016.  The OMPF phase-down was part of the Province’s agreement with municipalities in 2008 to upload social assistance benefit programs as well as court security costs off the property tax base.</w:t>
      </w:r>
    </w:p>
    <w:p w:rsidR="00584690" w:rsidRDefault="00584690" w:rsidP="00AC3A8B">
      <w:r>
        <w:t xml:space="preserve">Consistent with this commitment, the </w:t>
      </w:r>
      <w:r w:rsidR="004D57A9">
        <w:t>P</w:t>
      </w:r>
      <w:r>
        <w:t>rovince announced $5</w:t>
      </w:r>
      <w:r w:rsidR="009303A8">
        <w:t>5</w:t>
      </w:r>
      <w:r>
        <w:t>0 million in unconditional funding through the redesigned 2014 OMPF.  In addition to the four core grants announced for 2014, the $550 million in OMPF w</w:t>
      </w:r>
      <w:r w:rsidR="00925D0E">
        <w:t>ould</w:t>
      </w:r>
      <w:r>
        <w:t xml:space="preserve"> also include a significant amount of transition support.  This funding is intended to assist municipalities a</w:t>
      </w:r>
      <w:r w:rsidR="009303A8">
        <w:t>s</w:t>
      </w:r>
      <w:r>
        <w:t xml:space="preserve"> they transition to the redesigned program.</w:t>
      </w:r>
    </w:p>
    <w:p w:rsidR="00925D0E" w:rsidRDefault="00584690" w:rsidP="00AC3A8B">
      <w:r>
        <w:t xml:space="preserve">Through this Transitional Assistance the province will ensure that in 2014 municipalities receive a guaranteed level of support based on their 2013 OMPF allocation.  </w:t>
      </w:r>
    </w:p>
    <w:p w:rsidR="00D3266B" w:rsidRDefault="002D6AA1">
      <w:r>
        <w:t>The County had been asked by some local municipalities to account for the savings that had been provided by the upload of social services cost.  The Director of Finance did provide a reconciliation of these savings</w:t>
      </w:r>
      <w:r w:rsidR="00480D97">
        <w:t xml:space="preserve">.  However, the Director </w:t>
      </w:r>
      <w:r w:rsidR="00AA1DC7">
        <w:t>de</w:t>
      </w:r>
      <w:r w:rsidR="00F60A9D">
        <w:t>termined</w:t>
      </w:r>
      <w:r w:rsidR="00AA1DC7">
        <w:t xml:space="preserve"> </w:t>
      </w:r>
      <w:r>
        <w:t xml:space="preserve">there </w:t>
      </w:r>
      <w:r>
        <w:lastRenderedPageBreak/>
        <w:t xml:space="preserve">was a </w:t>
      </w:r>
      <w:r w:rsidR="00AA1DC7">
        <w:t xml:space="preserve">need to revisit the impact </w:t>
      </w:r>
      <w:r>
        <w:t xml:space="preserve">that </w:t>
      </w:r>
      <w:r w:rsidR="00AA1DC7">
        <w:t xml:space="preserve">the transferring of </w:t>
      </w:r>
      <w:r w:rsidR="001E41E0">
        <w:t xml:space="preserve">uploaded </w:t>
      </w:r>
      <w:r w:rsidR="00AA1DC7">
        <w:t>saving</w:t>
      </w:r>
      <w:r w:rsidR="001E41E0">
        <w:t>s</w:t>
      </w:r>
      <w:r w:rsidR="00AA1DC7">
        <w:t xml:space="preserve"> </w:t>
      </w:r>
      <w:r w:rsidR="001E41E0">
        <w:t xml:space="preserve">to reserves </w:t>
      </w:r>
      <w:r w:rsidR="00AA1DC7">
        <w:t xml:space="preserve">was having on local municipalities.  </w:t>
      </w:r>
    </w:p>
    <w:p w:rsidR="00D3266B" w:rsidRDefault="00AA1DC7">
      <w:r>
        <w:t>I</w:t>
      </w:r>
      <w:r w:rsidR="00112A08">
        <w:t xml:space="preserve">t was </w:t>
      </w:r>
      <w:r>
        <w:t xml:space="preserve">evident </w:t>
      </w:r>
      <w:r w:rsidR="00112A08">
        <w:t>following this review</w:t>
      </w:r>
      <w:r>
        <w:t xml:space="preserve"> that this is now beginning to cause a </w:t>
      </w:r>
      <w:r w:rsidR="00F608B3">
        <w:t xml:space="preserve">significant </w:t>
      </w:r>
      <w:r>
        <w:t xml:space="preserve">tax burden on local municipalities as </w:t>
      </w:r>
      <w:r w:rsidR="001E41E0">
        <w:t xml:space="preserve">their </w:t>
      </w:r>
      <w:r>
        <w:t xml:space="preserve">OMPF allocations are being adjusted to reflect the reduction in municipal costs for these programs.  To illustrate this impact, the </w:t>
      </w:r>
      <w:r w:rsidR="00584690">
        <w:t xml:space="preserve">following </w:t>
      </w:r>
      <w:r w:rsidR="004D57A9">
        <w:t>table</w:t>
      </w:r>
      <w:r w:rsidR="00584690">
        <w:t xml:space="preserve"> details the announced OMPF funding allocations for 2014 </w:t>
      </w:r>
      <w:r w:rsidR="001E1B40">
        <w:t>in comparison to the 2013 allocation notices</w:t>
      </w:r>
      <w:r w:rsidR="00584690">
        <w:t>:</w:t>
      </w:r>
    </w:p>
    <w:p w:rsidR="00584690" w:rsidRDefault="004D57A9" w:rsidP="00AC3A8B">
      <w:r>
        <w:t xml:space="preserve">Table 1 – </w:t>
      </w:r>
      <w:r w:rsidR="00584690">
        <w:t xml:space="preserve">OMPF – 2014 Allocation Notice  </w:t>
      </w:r>
    </w:p>
    <w:tbl>
      <w:tblPr>
        <w:tblStyle w:val="TableGrid"/>
        <w:tblW w:w="9918" w:type="dxa"/>
        <w:tblLayout w:type="fixed"/>
        <w:tblLook w:val="04A0" w:firstRow="1" w:lastRow="0" w:firstColumn="1" w:lastColumn="0" w:noHBand="0" w:noVBand="1"/>
        <w:tblCaption w:val="Table 1 Ontario Municipal Partnership Fund - 2014 Allocation Notice"/>
        <w:tblDescription w:val="Table 1 Ontario Municipal Partnership Fund - 2014 Allocation Notice"/>
      </w:tblPr>
      <w:tblGrid>
        <w:gridCol w:w="1818"/>
        <w:gridCol w:w="1530"/>
        <w:gridCol w:w="1350"/>
        <w:gridCol w:w="1350"/>
        <w:gridCol w:w="1170"/>
        <w:gridCol w:w="1350"/>
        <w:gridCol w:w="1350"/>
      </w:tblGrid>
      <w:tr w:rsidR="001E1B40" w:rsidTr="002725E7">
        <w:trPr>
          <w:tblHeader/>
        </w:trPr>
        <w:tc>
          <w:tcPr>
            <w:tcW w:w="1818" w:type="dxa"/>
            <w:vAlign w:val="bottom"/>
          </w:tcPr>
          <w:p w:rsidR="001E1B40" w:rsidRPr="001E1B40" w:rsidRDefault="001E1B40" w:rsidP="00925D0E">
            <w:pPr>
              <w:jc w:val="center"/>
              <w:rPr>
                <w:rFonts w:ascii="HelveticaNeueLT Std" w:hAnsi="HelveticaNeueLT Std"/>
                <w:b/>
                <w:sz w:val="20"/>
                <w:szCs w:val="20"/>
              </w:rPr>
            </w:pPr>
            <w:r w:rsidRPr="001E1B40">
              <w:rPr>
                <w:rFonts w:ascii="HelveticaNeueLT Std" w:hAnsi="HelveticaNeueLT Std"/>
                <w:b/>
                <w:sz w:val="20"/>
                <w:szCs w:val="20"/>
              </w:rPr>
              <w:t>Municipality</w:t>
            </w:r>
          </w:p>
        </w:tc>
        <w:tc>
          <w:tcPr>
            <w:tcW w:w="1530" w:type="dxa"/>
            <w:vAlign w:val="bottom"/>
          </w:tcPr>
          <w:p w:rsidR="001E1B40" w:rsidRPr="001E1B40" w:rsidRDefault="001E1B40" w:rsidP="00925D0E">
            <w:pPr>
              <w:jc w:val="center"/>
              <w:rPr>
                <w:rFonts w:ascii="HelveticaNeueLT Std" w:hAnsi="HelveticaNeueLT Std"/>
                <w:b/>
                <w:sz w:val="20"/>
                <w:szCs w:val="20"/>
              </w:rPr>
            </w:pPr>
            <w:r w:rsidRPr="001E1B40">
              <w:rPr>
                <w:rFonts w:ascii="HelveticaNeueLT Std" w:hAnsi="HelveticaNeueLT Std"/>
                <w:b/>
                <w:sz w:val="20"/>
                <w:szCs w:val="20"/>
              </w:rPr>
              <w:t>Sum of 2014 OMPF Grant Components</w:t>
            </w:r>
          </w:p>
        </w:tc>
        <w:tc>
          <w:tcPr>
            <w:tcW w:w="1350" w:type="dxa"/>
            <w:vAlign w:val="bottom"/>
          </w:tcPr>
          <w:p w:rsidR="001E1B40" w:rsidRPr="001E1B40" w:rsidRDefault="001E1B40" w:rsidP="00925D0E">
            <w:pPr>
              <w:jc w:val="center"/>
              <w:rPr>
                <w:rFonts w:ascii="HelveticaNeueLT Std" w:hAnsi="HelveticaNeueLT Std"/>
                <w:b/>
                <w:sz w:val="20"/>
                <w:szCs w:val="20"/>
              </w:rPr>
            </w:pPr>
            <w:r w:rsidRPr="001E1B40">
              <w:rPr>
                <w:rFonts w:ascii="HelveticaNeueLT Std" w:hAnsi="HelveticaNeueLT Std"/>
                <w:b/>
                <w:sz w:val="20"/>
                <w:szCs w:val="20"/>
              </w:rPr>
              <w:t>2014 Transitional Assistance</w:t>
            </w:r>
          </w:p>
        </w:tc>
        <w:tc>
          <w:tcPr>
            <w:tcW w:w="1350" w:type="dxa"/>
            <w:vAlign w:val="bottom"/>
          </w:tcPr>
          <w:p w:rsidR="001E1B40" w:rsidRPr="001E1B40" w:rsidRDefault="001E1B40" w:rsidP="00925D0E">
            <w:pPr>
              <w:jc w:val="center"/>
              <w:rPr>
                <w:rFonts w:ascii="HelveticaNeueLT Std" w:hAnsi="HelveticaNeueLT Std"/>
                <w:b/>
                <w:sz w:val="20"/>
                <w:szCs w:val="20"/>
              </w:rPr>
            </w:pPr>
            <w:r w:rsidRPr="001E1B40">
              <w:rPr>
                <w:rFonts w:ascii="HelveticaNeueLT Std" w:hAnsi="HelveticaNeueLT Std"/>
                <w:b/>
                <w:sz w:val="20"/>
                <w:szCs w:val="20"/>
              </w:rPr>
              <w:t>2014 Combined Allocation Notice</w:t>
            </w:r>
          </w:p>
        </w:tc>
        <w:tc>
          <w:tcPr>
            <w:tcW w:w="1170" w:type="dxa"/>
            <w:vAlign w:val="bottom"/>
          </w:tcPr>
          <w:p w:rsidR="001E1B40" w:rsidRPr="001E1B40" w:rsidRDefault="001E1B40" w:rsidP="00925D0E">
            <w:pPr>
              <w:jc w:val="center"/>
              <w:rPr>
                <w:rFonts w:ascii="HelveticaNeueLT Std" w:hAnsi="HelveticaNeueLT Std"/>
                <w:b/>
                <w:sz w:val="20"/>
                <w:szCs w:val="20"/>
              </w:rPr>
            </w:pPr>
            <w:r w:rsidRPr="001E1B40">
              <w:rPr>
                <w:rFonts w:ascii="HelveticaNeueLT Std" w:hAnsi="HelveticaNeueLT Std"/>
                <w:b/>
                <w:sz w:val="20"/>
                <w:szCs w:val="20"/>
              </w:rPr>
              <w:t>2014 Provincial Uploads</w:t>
            </w:r>
          </w:p>
        </w:tc>
        <w:tc>
          <w:tcPr>
            <w:tcW w:w="1350" w:type="dxa"/>
            <w:vAlign w:val="bottom"/>
          </w:tcPr>
          <w:p w:rsidR="001E1B40" w:rsidRPr="001E1B40" w:rsidRDefault="001E1B40" w:rsidP="00925D0E">
            <w:pPr>
              <w:jc w:val="center"/>
              <w:rPr>
                <w:rFonts w:ascii="HelveticaNeueLT Std" w:hAnsi="HelveticaNeueLT Std"/>
                <w:b/>
                <w:sz w:val="20"/>
                <w:szCs w:val="20"/>
              </w:rPr>
            </w:pPr>
            <w:r w:rsidRPr="001E1B40">
              <w:rPr>
                <w:rFonts w:ascii="HelveticaNeueLT Std" w:hAnsi="HelveticaNeueLT Std"/>
                <w:b/>
                <w:sz w:val="20"/>
                <w:szCs w:val="20"/>
              </w:rPr>
              <w:t>2014 Combined Benefit of OMPF and Provincial Uploads</w:t>
            </w:r>
          </w:p>
        </w:tc>
        <w:tc>
          <w:tcPr>
            <w:tcW w:w="1350" w:type="dxa"/>
            <w:vAlign w:val="bottom"/>
          </w:tcPr>
          <w:p w:rsidR="001E1B40" w:rsidRPr="001E1B40" w:rsidRDefault="001E1B40" w:rsidP="00925D0E">
            <w:pPr>
              <w:jc w:val="center"/>
              <w:rPr>
                <w:rFonts w:ascii="HelveticaNeueLT Std" w:hAnsi="HelveticaNeueLT Std"/>
                <w:b/>
                <w:sz w:val="20"/>
                <w:szCs w:val="20"/>
              </w:rPr>
            </w:pPr>
            <w:r w:rsidRPr="001E1B40">
              <w:rPr>
                <w:rFonts w:ascii="HelveticaNeueLT Std" w:hAnsi="HelveticaNeueLT Std"/>
                <w:b/>
                <w:sz w:val="20"/>
                <w:szCs w:val="20"/>
              </w:rPr>
              <w:t>Change 2014 to 2013</w:t>
            </w:r>
          </w:p>
        </w:tc>
      </w:tr>
      <w:tr w:rsidR="001E1B40" w:rsidTr="002725E7">
        <w:trPr>
          <w:tblHeader/>
        </w:trPr>
        <w:tc>
          <w:tcPr>
            <w:tcW w:w="1818" w:type="dxa"/>
          </w:tcPr>
          <w:p w:rsidR="001E1B40" w:rsidRPr="001E1B40" w:rsidRDefault="001E1B40" w:rsidP="00AC3A8B">
            <w:pPr>
              <w:rPr>
                <w:rFonts w:ascii="HelveticaNeueLT Std" w:hAnsi="HelveticaNeueLT Std"/>
                <w:b/>
                <w:sz w:val="20"/>
                <w:szCs w:val="20"/>
              </w:rPr>
            </w:pPr>
            <w:r w:rsidRPr="001E1B40">
              <w:rPr>
                <w:rFonts w:ascii="HelveticaNeueLT Std" w:hAnsi="HelveticaNeueLT Std"/>
                <w:b/>
                <w:sz w:val="20"/>
                <w:szCs w:val="20"/>
              </w:rPr>
              <w:t>Chatsworth</w:t>
            </w:r>
          </w:p>
        </w:tc>
        <w:tc>
          <w:tcPr>
            <w:tcW w:w="1530" w:type="dxa"/>
            <w:vAlign w:val="bottom"/>
          </w:tcPr>
          <w:p w:rsidR="001E1B40" w:rsidRPr="004D57A9" w:rsidRDefault="001E1B40" w:rsidP="001E1B40">
            <w:pPr>
              <w:jc w:val="right"/>
              <w:rPr>
                <w:rFonts w:ascii="HelveticaNeueLT Std" w:hAnsi="HelveticaNeueLT Std"/>
                <w:b/>
                <w:sz w:val="20"/>
                <w:szCs w:val="20"/>
              </w:rPr>
            </w:pPr>
            <w:r w:rsidRPr="004D57A9">
              <w:rPr>
                <w:rFonts w:ascii="HelveticaNeueLT Std" w:hAnsi="HelveticaNeueLT Std"/>
                <w:b/>
                <w:sz w:val="20"/>
                <w:szCs w:val="20"/>
              </w:rPr>
              <w:t>$721,200</w:t>
            </w:r>
          </w:p>
        </w:tc>
        <w:tc>
          <w:tcPr>
            <w:tcW w:w="1350" w:type="dxa"/>
            <w:vAlign w:val="bottom"/>
          </w:tcPr>
          <w:p w:rsidR="001E1B40" w:rsidRPr="004D57A9" w:rsidRDefault="001E1B40" w:rsidP="001E1B40">
            <w:pPr>
              <w:jc w:val="right"/>
              <w:rPr>
                <w:rFonts w:ascii="HelveticaNeueLT Std" w:hAnsi="HelveticaNeueLT Std"/>
                <w:b/>
                <w:sz w:val="20"/>
                <w:szCs w:val="20"/>
              </w:rPr>
            </w:pPr>
            <w:r w:rsidRPr="004D57A9">
              <w:rPr>
                <w:rFonts w:ascii="HelveticaNeueLT Std" w:hAnsi="HelveticaNeueLT Std"/>
                <w:b/>
                <w:sz w:val="20"/>
                <w:szCs w:val="20"/>
              </w:rPr>
              <w:t>$275,600</w:t>
            </w:r>
          </w:p>
        </w:tc>
        <w:tc>
          <w:tcPr>
            <w:tcW w:w="1350" w:type="dxa"/>
            <w:vAlign w:val="bottom"/>
          </w:tcPr>
          <w:p w:rsidR="001E1B40" w:rsidRPr="004D57A9" w:rsidRDefault="001E1B40" w:rsidP="001E1B40">
            <w:pPr>
              <w:jc w:val="right"/>
              <w:rPr>
                <w:rFonts w:ascii="HelveticaNeueLT Std" w:hAnsi="HelveticaNeueLT Std"/>
                <w:b/>
                <w:sz w:val="20"/>
                <w:szCs w:val="20"/>
              </w:rPr>
            </w:pPr>
            <w:r w:rsidRPr="004D57A9">
              <w:rPr>
                <w:rFonts w:ascii="HelveticaNeueLT Std" w:hAnsi="HelveticaNeueLT Std"/>
                <w:b/>
                <w:sz w:val="20"/>
                <w:szCs w:val="20"/>
              </w:rPr>
              <w:t>$996,800</w:t>
            </w:r>
          </w:p>
        </w:tc>
        <w:tc>
          <w:tcPr>
            <w:tcW w:w="1170" w:type="dxa"/>
            <w:vAlign w:val="bottom"/>
          </w:tcPr>
          <w:p w:rsidR="001E1B40" w:rsidRPr="004D57A9" w:rsidRDefault="001E1B40" w:rsidP="001E1B40">
            <w:pPr>
              <w:jc w:val="right"/>
              <w:rPr>
                <w:rFonts w:ascii="HelveticaNeueLT Std" w:hAnsi="HelveticaNeueLT Std"/>
                <w:b/>
                <w:sz w:val="20"/>
                <w:szCs w:val="20"/>
              </w:rPr>
            </w:pPr>
            <w:r w:rsidRPr="004D57A9">
              <w:rPr>
                <w:rFonts w:ascii="HelveticaNeueLT Std" w:hAnsi="HelveticaNeueLT Std"/>
                <w:b/>
                <w:sz w:val="20"/>
                <w:szCs w:val="20"/>
              </w:rPr>
              <w:t>$200</w:t>
            </w:r>
          </w:p>
        </w:tc>
        <w:tc>
          <w:tcPr>
            <w:tcW w:w="1350" w:type="dxa"/>
            <w:vAlign w:val="bottom"/>
          </w:tcPr>
          <w:p w:rsidR="001E1B40" w:rsidRPr="004D57A9" w:rsidRDefault="001E1B40" w:rsidP="001E1B40">
            <w:pPr>
              <w:jc w:val="right"/>
              <w:rPr>
                <w:rFonts w:ascii="HelveticaNeueLT Std" w:hAnsi="HelveticaNeueLT Std"/>
                <w:b/>
                <w:sz w:val="20"/>
                <w:szCs w:val="20"/>
              </w:rPr>
            </w:pPr>
            <w:r w:rsidRPr="004D57A9">
              <w:rPr>
                <w:rFonts w:ascii="HelveticaNeueLT Std" w:hAnsi="HelveticaNeueLT Std"/>
                <w:b/>
                <w:sz w:val="20"/>
                <w:szCs w:val="20"/>
              </w:rPr>
              <w:t>$997,000</w:t>
            </w:r>
          </w:p>
        </w:tc>
        <w:tc>
          <w:tcPr>
            <w:tcW w:w="1350" w:type="dxa"/>
            <w:vAlign w:val="bottom"/>
          </w:tcPr>
          <w:p w:rsidR="001E1B40" w:rsidRPr="004D57A9" w:rsidRDefault="001E1B40" w:rsidP="00D92723">
            <w:pPr>
              <w:jc w:val="right"/>
              <w:rPr>
                <w:rFonts w:ascii="HelveticaNeueLT Std" w:hAnsi="HelveticaNeueLT Std"/>
                <w:b/>
                <w:sz w:val="20"/>
                <w:szCs w:val="20"/>
              </w:rPr>
            </w:pPr>
            <w:r w:rsidRPr="004D57A9">
              <w:rPr>
                <w:rFonts w:ascii="HelveticaNeueLT Std" w:hAnsi="HelveticaNeueLT Std"/>
                <w:b/>
                <w:sz w:val="20"/>
                <w:szCs w:val="20"/>
              </w:rPr>
              <w:t>($128,</w:t>
            </w:r>
            <w:r w:rsidR="00D92723">
              <w:rPr>
                <w:rFonts w:ascii="HelveticaNeueLT Std" w:hAnsi="HelveticaNeueLT Std"/>
                <w:b/>
                <w:sz w:val="20"/>
                <w:szCs w:val="20"/>
              </w:rPr>
              <w:t>1</w:t>
            </w:r>
            <w:r w:rsidRPr="004D57A9">
              <w:rPr>
                <w:rFonts w:ascii="HelveticaNeueLT Std" w:hAnsi="HelveticaNeueLT Std"/>
                <w:b/>
                <w:sz w:val="20"/>
                <w:szCs w:val="20"/>
              </w:rPr>
              <w:t>00)</w:t>
            </w:r>
          </w:p>
        </w:tc>
      </w:tr>
      <w:tr w:rsidR="001E1B40" w:rsidTr="002725E7">
        <w:trPr>
          <w:tblHeader/>
        </w:trPr>
        <w:tc>
          <w:tcPr>
            <w:tcW w:w="1818" w:type="dxa"/>
          </w:tcPr>
          <w:p w:rsidR="001E1B40" w:rsidRPr="001E1B40" w:rsidRDefault="001E1B40" w:rsidP="00AC3A8B">
            <w:pPr>
              <w:rPr>
                <w:rFonts w:ascii="HelveticaNeueLT Std" w:hAnsi="HelveticaNeueLT Std"/>
                <w:b/>
                <w:sz w:val="20"/>
                <w:szCs w:val="20"/>
              </w:rPr>
            </w:pPr>
            <w:r w:rsidRPr="001E1B40">
              <w:rPr>
                <w:rFonts w:ascii="HelveticaNeueLT Std" w:hAnsi="HelveticaNeueLT Std"/>
                <w:b/>
                <w:sz w:val="20"/>
                <w:szCs w:val="20"/>
              </w:rPr>
              <w:t>Georgian Bluffs</w:t>
            </w:r>
          </w:p>
        </w:tc>
        <w:tc>
          <w:tcPr>
            <w:tcW w:w="153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$797,300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$797,300</w:t>
            </w:r>
          </w:p>
        </w:tc>
        <w:tc>
          <w:tcPr>
            <w:tcW w:w="117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$400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$797,700</w:t>
            </w:r>
          </w:p>
        </w:tc>
        <w:tc>
          <w:tcPr>
            <w:tcW w:w="1350" w:type="dxa"/>
            <w:vAlign w:val="bottom"/>
          </w:tcPr>
          <w:p w:rsidR="001E1B40" w:rsidRPr="004D57A9" w:rsidRDefault="00925D0E" w:rsidP="00D92723">
            <w:pPr>
              <w:jc w:val="right"/>
              <w:rPr>
                <w:rFonts w:ascii="HelveticaNeueLT Std" w:hAnsi="HelveticaNeueLT Std"/>
                <w:b/>
                <w:sz w:val="20"/>
                <w:szCs w:val="20"/>
              </w:rPr>
            </w:pPr>
            <w:r w:rsidRPr="004D57A9">
              <w:rPr>
                <w:rFonts w:ascii="HelveticaNeueLT Std" w:hAnsi="HelveticaNeueLT Std"/>
                <w:b/>
                <w:sz w:val="20"/>
                <w:szCs w:val="20"/>
              </w:rPr>
              <w:t>($14,</w:t>
            </w:r>
            <w:r w:rsidR="00D92723">
              <w:rPr>
                <w:rFonts w:ascii="HelveticaNeueLT Std" w:hAnsi="HelveticaNeueLT Std"/>
                <w:b/>
                <w:sz w:val="20"/>
                <w:szCs w:val="20"/>
              </w:rPr>
              <w:t>5</w:t>
            </w:r>
            <w:r w:rsidRPr="004D57A9">
              <w:rPr>
                <w:rFonts w:ascii="HelveticaNeueLT Std" w:hAnsi="HelveticaNeueLT Std"/>
                <w:b/>
                <w:sz w:val="20"/>
                <w:szCs w:val="20"/>
              </w:rPr>
              <w:t>00)</w:t>
            </w:r>
          </w:p>
        </w:tc>
      </w:tr>
      <w:tr w:rsidR="001E1B40" w:rsidTr="002725E7">
        <w:trPr>
          <w:tblHeader/>
        </w:trPr>
        <w:tc>
          <w:tcPr>
            <w:tcW w:w="1818" w:type="dxa"/>
          </w:tcPr>
          <w:p w:rsidR="001E1B40" w:rsidRPr="001E1B40" w:rsidRDefault="001E1B40" w:rsidP="00AC3A8B">
            <w:pPr>
              <w:rPr>
                <w:rFonts w:ascii="HelveticaNeueLT Std" w:hAnsi="HelveticaNeueLT Std"/>
                <w:b/>
                <w:sz w:val="20"/>
                <w:szCs w:val="20"/>
              </w:rPr>
            </w:pPr>
            <w:r w:rsidRPr="001E1B40">
              <w:rPr>
                <w:rFonts w:ascii="HelveticaNeueLT Std" w:hAnsi="HelveticaNeueLT Std"/>
                <w:b/>
                <w:sz w:val="20"/>
                <w:szCs w:val="20"/>
              </w:rPr>
              <w:t>Grey Highlands</w:t>
            </w:r>
          </w:p>
        </w:tc>
        <w:tc>
          <w:tcPr>
            <w:tcW w:w="153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$976,300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$275,000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$1,251,300</w:t>
            </w:r>
          </w:p>
        </w:tc>
        <w:tc>
          <w:tcPr>
            <w:tcW w:w="117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$600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$1,251,900</w:t>
            </w:r>
          </w:p>
        </w:tc>
        <w:tc>
          <w:tcPr>
            <w:tcW w:w="1350" w:type="dxa"/>
            <w:vAlign w:val="bottom"/>
          </w:tcPr>
          <w:p w:rsidR="001E1B40" w:rsidRPr="004D57A9" w:rsidRDefault="00925D0E" w:rsidP="00D92723">
            <w:pPr>
              <w:jc w:val="right"/>
              <w:rPr>
                <w:rFonts w:ascii="HelveticaNeueLT Std" w:hAnsi="HelveticaNeueLT Std"/>
                <w:b/>
                <w:sz w:val="20"/>
                <w:szCs w:val="20"/>
              </w:rPr>
            </w:pPr>
            <w:r w:rsidRPr="004D57A9">
              <w:rPr>
                <w:rFonts w:ascii="HelveticaNeueLT Std" w:hAnsi="HelveticaNeueLT Std"/>
                <w:b/>
                <w:sz w:val="20"/>
                <w:szCs w:val="20"/>
              </w:rPr>
              <w:t>($14</w:t>
            </w:r>
            <w:r w:rsidR="00D92723">
              <w:rPr>
                <w:rFonts w:ascii="HelveticaNeueLT Std" w:hAnsi="HelveticaNeueLT Std"/>
                <w:b/>
                <w:sz w:val="20"/>
                <w:szCs w:val="20"/>
              </w:rPr>
              <w:t>1</w:t>
            </w:r>
            <w:r w:rsidRPr="004D57A9">
              <w:rPr>
                <w:rFonts w:ascii="HelveticaNeueLT Std" w:hAnsi="HelveticaNeueLT Std"/>
                <w:b/>
                <w:sz w:val="20"/>
                <w:szCs w:val="20"/>
              </w:rPr>
              <w:t>,</w:t>
            </w:r>
            <w:r w:rsidR="00D92723">
              <w:rPr>
                <w:rFonts w:ascii="HelveticaNeueLT Std" w:hAnsi="HelveticaNeueLT Std"/>
                <w:b/>
                <w:sz w:val="20"/>
                <w:szCs w:val="20"/>
              </w:rPr>
              <w:t>9</w:t>
            </w:r>
            <w:r w:rsidRPr="004D57A9">
              <w:rPr>
                <w:rFonts w:ascii="HelveticaNeueLT Std" w:hAnsi="HelveticaNeueLT Std"/>
                <w:b/>
                <w:sz w:val="20"/>
                <w:szCs w:val="20"/>
              </w:rPr>
              <w:t>00)</w:t>
            </w:r>
          </w:p>
        </w:tc>
      </w:tr>
      <w:tr w:rsidR="001E1B40" w:rsidTr="002725E7">
        <w:trPr>
          <w:tblHeader/>
        </w:trPr>
        <w:tc>
          <w:tcPr>
            <w:tcW w:w="1818" w:type="dxa"/>
          </w:tcPr>
          <w:p w:rsidR="001E1B40" w:rsidRPr="001E1B40" w:rsidRDefault="001E1B40" w:rsidP="00AC3A8B">
            <w:pPr>
              <w:rPr>
                <w:rFonts w:ascii="HelveticaNeueLT Std" w:hAnsi="HelveticaNeueLT Std"/>
                <w:b/>
                <w:sz w:val="20"/>
                <w:szCs w:val="20"/>
              </w:rPr>
            </w:pPr>
            <w:r w:rsidRPr="001E1B40">
              <w:rPr>
                <w:rFonts w:ascii="HelveticaNeueLT Std" w:hAnsi="HelveticaNeueLT Std"/>
                <w:b/>
                <w:sz w:val="20"/>
                <w:szCs w:val="20"/>
              </w:rPr>
              <w:t>Hanover</w:t>
            </w:r>
          </w:p>
        </w:tc>
        <w:tc>
          <w:tcPr>
            <w:tcW w:w="153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$1,227,900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$806,400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$2,034,300</w:t>
            </w:r>
          </w:p>
        </w:tc>
        <w:tc>
          <w:tcPr>
            <w:tcW w:w="117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$13,600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$2,047,900</w:t>
            </w:r>
          </w:p>
        </w:tc>
        <w:tc>
          <w:tcPr>
            <w:tcW w:w="1350" w:type="dxa"/>
            <w:vAlign w:val="bottom"/>
          </w:tcPr>
          <w:p w:rsidR="001E1B40" w:rsidRPr="004D57A9" w:rsidRDefault="00925D0E" w:rsidP="00D92723">
            <w:pPr>
              <w:jc w:val="right"/>
              <w:rPr>
                <w:rFonts w:ascii="HelveticaNeueLT Std" w:hAnsi="HelveticaNeueLT Std"/>
                <w:b/>
                <w:sz w:val="20"/>
                <w:szCs w:val="20"/>
              </w:rPr>
            </w:pPr>
            <w:r w:rsidRPr="004D57A9">
              <w:rPr>
                <w:rFonts w:ascii="HelveticaNeueLT Std" w:hAnsi="HelveticaNeueLT Std"/>
                <w:b/>
                <w:sz w:val="20"/>
                <w:szCs w:val="20"/>
              </w:rPr>
              <w:t>($</w:t>
            </w:r>
            <w:r w:rsidR="00D92723">
              <w:rPr>
                <w:rFonts w:ascii="HelveticaNeueLT Std" w:hAnsi="HelveticaNeueLT Std"/>
                <w:b/>
                <w:sz w:val="20"/>
                <w:szCs w:val="20"/>
              </w:rPr>
              <w:t>47</w:t>
            </w:r>
            <w:r w:rsidRPr="004D57A9">
              <w:rPr>
                <w:rFonts w:ascii="HelveticaNeueLT Std" w:hAnsi="HelveticaNeueLT Std"/>
                <w:b/>
                <w:sz w:val="20"/>
                <w:szCs w:val="20"/>
              </w:rPr>
              <w:t>,</w:t>
            </w:r>
            <w:r w:rsidR="00D92723">
              <w:rPr>
                <w:rFonts w:ascii="HelveticaNeueLT Std" w:hAnsi="HelveticaNeueLT Std"/>
                <w:b/>
                <w:sz w:val="20"/>
                <w:szCs w:val="20"/>
              </w:rPr>
              <w:t>6</w:t>
            </w:r>
            <w:r w:rsidRPr="004D57A9">
              <w:rPr>
                <w:rFonts w:ascii="HelveticaNeueLT Std" w:hAnsi="HelveticaNeueLT Std"/>
                <w:b/>
                <w:sz w:val="20"/>
                <w:szCs w:val="20"/>
              </w:rPr>
              <w:t>00)</w:t>
            </w:r>
          </w:p>
        </w:tc>
      </w:tr>
      <w:tr w:rsidR="001E1B40" w:rsidTr="002725E7">
        <w:trPr>
          <w:tblHeader/>
        </w:trPr>
        <w:tc>
          <w:tcPr>
            <w:tcW w:w="1818" w:type="dxa"/>
          </w:tcPr>
          <w:p w:rsidR="001E1B40" w:rsidRPr="001E1B40" w:rsidRDefault="001E1B40" w:rsidP="00AC3A8B">
            <w:pPr>
              <w:rPr>
                <w:rFonts w:ascii="HelveticaNeueLT Std" w:hAnsi="HelveticaNeueLT Std"/>
                <w:b/>
                <w:sz w:val="20"/>
                <w:szCs w:val="20"/>
              </w:rPr>
            </w:pPr>
            <w:r w:rsidRPr="001E1B40">
              <w:rPr>
                <w:rFonts w:ascii="HelveticaNeueLT Std" w:hAnsi="HelveticaNeueLT Std"/>
                <w:b/>
                <w:sz w:val="20"/>
                <w:szCs w:val="20"/>
              </w:rPr>
              <w:t>Meaford</w:t>
            </w:r>
          </w:p>
        </w:tc>
        <w:tc>
          <w:tcPr>
            <w:tcW w:w="153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$968,600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$107,000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$1,075,600</w:t>
            </w:r>
          </w:p>
        </w:tc>
        <w:tc>
          <w:tcPr>
            <w:tcW w:w="117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$600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$1,076,200</w:t>
            </w:r>
          </w:p>
        </w:tc>
        <w:tc>
          <w:tcPr>
            <w:tcW w:w="1350" w:type="dxa"/>
            <w:vAlign w:val="bottom"/>
          </w:tcPr>
          <w:p w:rsidR="001E1B40" w:rsidRPr="004D57A9" w:rsidRDefault="00925D0E" w:rsidP="00D92723">
            <w:pPr>
              <w:jc w:val="right"/>
              <w:rPr>
                <w:rFonts w:ascii="HelveticaNeueLT Std" w:hAnsi="HelveticaNeueLT Std"/>
                <w:b/>
                <w:sz w:val="20"/>
                <w:szCs w:val="20"/>
              </w:rPr>
            </w:pPr>
            <w:r w:rsidRPr="004D57A9">
              <w:rPr>
                <w:rFonts w:ascii="HelveticaNeueLT Std" w:hAnsi="HelveticaNeueLT Std"/>
                <w:b/>
                <w:sz w:val="20"/>
                <w:szCs w:val="20"/>
              </w:rPr>
              <w:t>($14</w:t>
            </w:r>
            <w:r w:rsidR="00D92723">
              <w:rPr>
                <w:rFonts w:ascii="HelveticaNeueLT Std" w:hAnsi="HelveticaNeueLT Std"/>
                <w:b/>
                <w:sz w:val="20"/>
                <w:szCs w:val="20"/>
              </w:rPr>
              <w:t>0</w:t>
            </w:r>
            <w:r w:rsidRPr="004D57A9">
              <w:rPr>
                <w:rFonts w:ascii="HelveticaNeueLT Std" w:hAnsi="HelveticaNeueLT Std"/>
                <w:b/>
                <w:sz w:val="20"/>
                <w:szCs w:val="20"/>
              </w:rPr>
              <w:t>,</w:t>
            </w:r>
            <w:r w:rsidR="00D92723">
              <w:rPr>
                <w:rFonts w:ascii="HelveticaNeueLT Std" w:hAnsi="HelveticaNeueLT Std"/>
                <w:b/>
                <w:sz w:val="20"/>
                <w:szCs w:val="20"/>
              </w:rPr>
              <w:t>9</w:t>
            </w:r>
            <w:r w:rsidRPr="004D57A9">
              <w:rPr>
                <w:rFonts w:ascii="HelveticaNeueLT Std" w:hAnsi="HelveticaNeueLT Std"/>
                <w:b/>
                <w:sz w:val="20"/>
                <w:szCs w:val="20"/>
              </w:rPr>
              <w:t>00)</w:t>
            </w:r>
          </w:p>
        </w:tc>
      </w:tr>
      <w:tr w:rsidR="001E1B40" w:rsidTr="002725E7">
        <w:trPr>
          <w:tblHeader/>
        </w:trPr>
        <w:tc>
          <w:tcPr>
            <w:tcW w:w="1818" w:type="dxa"/>
          </w:tcPr>
          <w:p w:rsidR="001E1B40" w:rsidRPr="001E1B40" w:rsidRDefault="001E1B40" w:rsidP="00AC3A8B">
            <w:pPr>
              <w:rPr>
                <w:rFonts w:ascii="HelveticaNeueLT Std" w:hAnsi="HelveticaNeueLT Std"/>
                <w:b/>
                <w:sz w:val="20"/>
                <w:szCs w:val="20"/>
              </w:rPr>
            </w:pPr>
            <w:r w:rsidRPr="001E1B40">
              <w:rPr>
                <w:rFonts w:ascii="HelveticaNeueLT Std" w:hAnsi="HelveticaNeueLT Std"/>
                <w:b/>
                <w:sz w:val="20"/>
                <w:szCs w:val="20"/>
              </w:rPr>
              <w:t>Owen Sound</w:t>
            </w:r>
          </w:p>
        </w:tc>
        <w:tc>
          <w:tcPr>
            <w:tcW w:w="153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$62,600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$899,000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$961,600</w:t>
            </w:r>
          </w:p>
        </w:tc>
        <w:tc>
          <w:tcPr>
            <w:tcW w:w="117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$183,900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$1,145,500</w:t>
            </w:r>
          </w:p>
        </w:tc>
        <w:tc>
          <w:tcPr>
            <w:tcW w:w="1350" w:type="dxa"/>
            <w:vAlign w:val="bottom"/>
          </w:tcPr>
          <w:p w:rsidR="001E1B40" w:rsidRPr="004D57A9" w:rsidRDefault="00925D0E" w:rsidP="00D92723">
            <w:pPr>
              <w:jc w:val="right"/>
              <w:rPr>
                <w:rFonts w:ascii="HelveticaNeueLT Std" w:hAnsi="HelveticaNeueLT Std"/>
                <w:b/>
                <w:sz w:val="20"/>
                <w:szCs w:val="20"/>
              </w:rPr>
            </w:pPr>
            <w:r w:rsidRPr="004D57A9">
              <w:rPr>
                <w:rFonts w:ascii="HelveticaNeueLT Std" w:hAnsi="HelveticaNeueLT Std"/>
                <w:b/>
                <w:sz w:val="20"/>
                <w:szCs w:val="20"/>
              </w:rPr>
              <w:t>($1</w:t>
            </w:r>
            <w:r w:rsidR="00D92723">
              <w:rPr>
                <w:rFonts w:ascii="HelveticaNeueLT Std" w:hAnsi="HelveticaNeueLT Std"/>
                <w:b/>
                <w:sz w:val="20"/>
                <w:szCs w:val="20"/>
              </w:rPr>
              <w:t>08</w:t>
            </w:r>
            <w:r w:rsidRPr="004D57A9">
              <w:rPr>
                <w:rFonts w:ascii="HelveticaNeueLT Std" w:hAnsi="HelveticaNeueLT Std"/>
                <w:b/>
                <w:sz w:val="20"/>
                <w:szCs w:val="20"/>
              </w:rPr>
              <w:t>,</w:t>
            </w:r>
            <w:r w:rsidR="00D92723">
              <w:rPr>
                <w:rFonts w:ascii="HelveticaNeueLT Std" w:hAnsi="HelveticaNeueLT Std"/>
                <w:b/>
                <w:sz w:val="20"/>
                <w:szCs w:val="20"/>
              </w:rPr>
              <w:t>300</w:t>
            </w:r>
            <w:r w:rsidRPr="004D57A9">
              <w:rPr>
                <w:rFonts w:ascii="HelveticaNeueLT Std" w:hAnsi="HelveticaNeueLT Std"/>
                <w:b/>
                <w:sz w:val="20"/>
                <w:szCs w:val="20"/>
              </w:rPr>
              <w:t>)</w:t>
            </w:r>
          </w:p>
        </w:tc>
      </w:tr>
      <w:tr w:rsidR="00925D0E" w:rsidTr="002725E7">
        <w:trPr>
          <w:tblHeader/>
        </w:trPr>
        <w:tc>
          <w:tcPr>
            <w:tcW w:w="1818" w:type="dxa"/>
          </w:tcPr>
          <w:p w:rsidR="001E1B40" w:rsidRPr="001E1B40" w:rsidRDefault="001E1B40" w:rsidP="00AC3A8B">
            <w:pPr>
              <w:rPr>
                <w:rFonts w:ascii="HelveticaNeueLT Std" w:hAnsi="HelveticaNeueLT Std"/>
                <w:b/>
                <w:sz w:val="20"/>
                <w:szCs w:val="20"/>
              </w:rPr>
            </w:pPr>
            <w:r w:rsidRPr="001E1B40">
              <w:rPr>
                <w:rFonts w:ascii="HelveticaNeueLT Std" w:hAnsi="HelveticaNeueLT Std"/>
                <w:b/>
                <w:sz w:val="20"/>
                <w:szCs w:val="20"/>
              </w:rPr>
              <w:t>Southgate</w:t>
            </w:r>
          </w:p>
        </w:tc>
        <w:tc>
          <w:tcPr>
            <w:tcW w:w="153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$820,700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$308,200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$1,128,900</w:t>
            </w:r>
          </w:p>
        </w:tc>
        <w:tc>
          <w:tcPr>
            <w:tcW w:w="117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$300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$1,129,200</w:t>
            </w:r>
          </w:p>
        </w:tc>
        <w:tc>
          <w:tcPr>
            <w:tcW w:w="1350" w:type="dxa"/>
            <w:vAlign w:val="bottom"/>
          </w:tcPr>
          <w:p w:rsidR="001E1B40" w:rsidRPr="004D57A9" w:rsidRDefault="00925D0E" w:rsidP="00D92723">
            <w:pPr>
              <w:jc w:val="right"/>
              <w:rPr>
                <w:rFonts w:ascii="HelveticaNeueLT Std" w:hAnsi="HelveticaNeueLT Std"/>
                <w:b/>
                <w:sz w:val="20"/>
                <w:szCs w:val="20"/>
              </w:rPr>
            </w:pPr>
            <w:r w:rsidRPr="004D57A9">
              <w:rPr>
                <w:rFonts w:ascii="HelveticaNeueLT Std" w:hAnsi="HelveticaNeueLT Std"/>
                <w:b/>
                <w:sz w:val="20"/>
                <w:szCs w:val="20"/>
              </w:rPr>
              <w:t>($136,</w:t>
            </w:r>
            <w:r w:rsidR="00D92723">
              <w:rPr>
                <w:rFonts w:ascii="HelveticaNeueLT Std" w:hAnsi="HelveticaNeueLT Std"/>
                <w:b/>
                <w:sz w:val="20"/>
                <w:szCs w:val="20"/>
              </w:rPr>
              <w:t>5</w:t>
            </w:r>
            <w:r w:rsidRPr="004D57A9">
              <w:rPr>
                <w:rFonts w:ascii="HelveticaNeueLT Std" w:hAnsi="HelveticaNeueLT Std"/>
                <w:b/>
                <w:sz w:val="20"/>
                <w:szCs w:val="20"/>
              </w:rPr>
              <w:t>00)</w:t>
            </w:r>
          </w:p>
        </w:tc>
      </w:tr>
      <w:tr w:rsidR="00925D0E" w:rsidTr="002725E7">
        <w:trPr>
          <w:tblHeader/>
        </w:trPr>
        <w:tc>
          <w:tcPr>
            <w:tcW w:w="1818" w:type="dxa"/>
          </w:tcPr>
          <w:p w:rsidR="001E1B40" w:rsidRPr="001E1B40" w:rsidRDefault="001E1B40" w:rsidP="00AC3A8B">
            <w:pPr>
              <w:rPr>
                <w:rFonts w:ascii="HelveticaNeueLT Std" w:hAnsi="HelveticaNeueLT Std"/>
                <w:b/>
                <w:sz w:val="20"/>
                <w:szCs w:val="20"/>
              </w:rPr>
            </w:pPr>
            <w:r w:rsidRPr="001E1B40">
              <w:rPr>
                <w:rFonts w:ascii="HelveticaNeueLT Std" w:hAnsi="HelveticaNeueLT Std"/>
                <w:b/>
                <w:sz w:val="20"/>
                <w:szCs w:val="20"/>
              </w:rPr>
              <w:t>Blue Mountains</w:t>
            </w:r>
          </w:p>
        </w:tc>
        <w:tc>
          <w:tcPr>
            <w:tcW w:w="153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$1,109,000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$178,800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$1,287,800</w:t>
            </w:r>
          </w:p>
        </w:tc>
        <w:tc>
          <w:tcPr>
            <w:tcW w:w="117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$1,287,800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($227,200)</w:t>
            </w:r>
          </w:p>
        </w:tc>
      </w:tr>
      <w:tr w:rsidR="001E1B40" w:rsidTr="002725E7">
        <w:trPr>
          <w:tblHeader/>
        </w:trPr>
        <w:tc>
          <w:tcPr>
            <w:tcW w:w="1818" w:type="dxa"/>
          </w:tcPr>
          <w:p w:rsidR="001E1B40" w:rsidRPr="001E1B40" w:rsidRDefault="001E1B40" w:rsidP="00AC3A8B">
            <w:pPr>
              <w:rPr>
                <w:rFonts w:ascii="HelveticaNeueLT Std" w:hAnsi="HelveticaNeueLT Std"/>
                <w:b/>
                <w:sz w:val="20"/>
                <w:szCs w:val="20"/>
              </w:rPr>
            </w:pPr>
            <w:r w:rsidRPr="001E1B40">
              <w:rPr>
                <w:rFonts w:ascii="HelveticaNeueLT Std" w:hAnsi="HelveticaNeueLT Std"/>
                <w:b/>
                <w:sz w:val="20"/>
                <w:szCs w:val="20"/>
              </w:rPr>
              <w:t>West Grey</w:t>
            </w:r>
          </w:p>
        </w:tc>
        <w:tc>
          <w:tcPr>
            <w:tcW w:w="153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$1,616,800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$619,800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$2,236,600</w:t>
            </w:r>
          </w:p>
        </w:tc>
        <w:tc>
          <w:tcPr>
            <w:tcW w:w="117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$0</w:t>
            </w:r>
          </w:p>
        </w:tc>
        <w:tc>
          <w:tcPr>
            <w:tcW w:w="1350" w:type="dxa"/>
            <w:vAlign w:val="bottom"/>
          </w:tcPr>
          <w:p w:rsidR="001E1B40" w:rsidRPr="004D57A9" w:rsidRDefault="00925D0E" w:rsidP="001E1B40">
            <w:pPr>
              <w:jc w:val="right"/>
              <w:rPr>
                <w:rFonts w:ascii="HelveticaNeueLT Std" w:hAnsi="HelveticaNeueLT Std"/>
                <w:b/>
                <w:sz w:val="20"/>
                <w:szCs w:val="20"/>
              </w:rPr>
            </w:pPr>
            <w:r w:rsidRPr="004D57A9">
              <w:rPr>
                <w:rFonts w:ascii="HelveticaNeueLT Std" w:hAnsi="HelveticaNeueLT Std"/>
                <w:b/>
                <w:sz w:val="20"/>
                <w:szCs w:val="20"/>
              </w:rPr>
              <w:t>$2,236,600</w:t>
            </w:r>
          </w:p>
        </w:tc>
        <w:tc>
          <w:tcPr>
            <w:tcW w:w="1350" w:type="dxa"/>
            <w:vAlign w:val="bottom"/>
          </w:tcPr>
          <w:p w:rsidR="001E1B40" w:rsidRPr="004D57A9" w:rsidRDefault="00925D0E" w:rsidP="00925D0E">
            <w:pPr>
              <w:jc w:val="right"/>
              <w:rPr>
                <w:rFonts w:ascii="HelveticaNeueLT Std" w:hAnsi="HelveticaNeueLT Std"/>
                <w:b/>
                <w:sz w:val="20"/>
                <w:szCs w:val="20"/>
              </w:rPr>
            </w:pPr>
            <w:r w:rsidRPr="004D57A9">
              <w:rPr>
                <w:rFonts w:ascii="HelveticaNeueLT Std" w:hAnsi="HelveticaNeueLT Std"/>
                <w:b/>
                <w:sz w:val="20"/>
                <w:szCs w:val="20"/>
              </w:rPr>
              <w:t>($227,900)</w:t>
            </w:r>
          </w:p>
        </w:tc>
      </w:tr>
      <w:tr w:rsidR="00925D0E" w:rsidTr="002725E7">
        <w:trPr>
          <w:tblHeader/>
        </w:trPr>
        <w:tc>
          <w:tcPr>
            <w:tcW w:w="1818" w:type="dxa"/>
          </w:tcPr>
          <w:p w:rsidR="001E1B40" w:rsidRPr="001E1B40" w:rsidRDefault="001E1B40" w:rsidP="00AC3A8B">
            <w:pPr>
              <w:rPr>
                <w:rFonts w:ascii="HelveticaNeueLT Std" w:hAnsi="HelveticaNeueLT Std"/>
                <w:b/>
                <w:sz w:val="20"/>
                <w:szCs w:val="20"/>
              </w:rPr>
            </w:pPr>
            <w:r w:rsidRPr="001E1B40">
              <w:rPr>
                <w:rFonts w:ascii="HelveticaNeueLT Std" w:hAnsi="HelveticaNeueLT Std"/>
                <w:b/>
                <w:sz w:val="20"/>
                <w:szCs w:val="20"/>
              </w:rPr>
              <w:t>Total</w:t>
            </w:r>
          </w:p>
        </w:tc>
        <w:tc>
          <w:tcPr>
            <w:tcW w:w="1530" w:type="dxa"/>
            <w:vAlign w:val="bottom"/>
          </w:tcPr>
          <w:p w:rsidR="001E1B40" w:rsidRPr="00925D0E" w:rsidRDefault="00925D0E" w:rsidP="001E1B40">
            <w:pPr>
              <w:jc w:val="right"/>
              <w:rPr>
                <w:rFonts w:ascii="HelveticaNeueLT Std" w:hAnsi="HelveticaNeueLT Std"/>
                <w:b/>
                <w:sz w:val="20"/>
                <w:szCs w:val="20"/>
              </w:rPr>
            </w:pPr>
            <w:r w:rsidRPr="00925D0E">
              <w:rPr>
                <w:rFonts w:ascii="HelveticaNeueLT Std" w:hAnsi="HelveticaNeueLT Std"/>
                <w:b/>
                <w:sz w:val="20"/>
                <w:szCs w:val="20"/>
              </w:rPr>
              <w:t>$8,300,400</w:t>
            </w:r>
          </w:p>
        </w:tc>
        <w:tc>
          <w:tcPr>
            <w:tcW w:w="1350" w:type="dxa"/>
            <w:vAlign w:val="bottom"/>
          </w:tcPr>
          <w:p w:rsidR="001E1B40" w:rsidRPr="00925D0E" w:rsidRDefault="00925D0E" w:rsidP="001E1B40">
            <w:pPr>
              <w:jc w:val="right"/>
              <w:rPr>
                <w:rFonts w:ascii="HelveticaNeueLT Std" w:hAnsi="HelveticaNeueLT Std"/>
                <w:b/>
                <w:sz w:val="20"/>
                <w:szCs w:val="20"/>
              </w:rPr>
            </w:pPr>
            <w:r w:rsidRPr="00925D0E">
              <w:rPr>
                <w:rFonts w:ascii="HelveticaNeueLT Std" w:hAnsi="HelveticaNeueLT Std"/>
                <w:b/>
                <w:sz w:val="20"/>
                <w:szCs w:val="20"/>
              </w:rPr>
              <w:t>$3,469,800</w:t>
            </w:r>
          </w:p>
        </w:tc>
        <w:tc>
          <w:tcPr>
            <w:tcW w:w="1350" w:type="dxa"/>
            <w:vAlign w:val="bottom"/>
          </w:tcPr>
          <w:p w:rsidR="001E1B40" w:rsidRPr="00925D0E" w:rsidRDefault="00925D0E" w:rsidP="001E1B40">
            <w:pPr>
              <w:jc w:val="right"/>
              <w:rPr>
                <w:rFonts w:ascii="HelveticaNeueLT Std" w:hAnsi="HelveticaNeueLT Std"/>
                <w:b/>
                <w:sz w:val="20"/>
                <w:szCs w:val="20"/>
              </w:rPr>
            </w:pPr>
            <w:r w:rsidRPr="00925D0E">
              <w:rPr>
                <w:rFonts w:ascii="HelveticaNeueLT Std" w:hAnsi="HelveticaNeueLT Std"/>
                <w:b/>
                <w:sz w:val="20"/>
                <w:szCs w:val="20"/>
              </w:rPr>
              <w:t>$11,770,200</w:t>
            </w:r>
          </w:p>
        </w:tc>
        <w:tc>
          <w:tcPr>
            <w:tcW w:w="1170" w:type="dxa"/>
            <w:vAlign w:val="bottom"/>
          </w:tcPr>
          <w:p w:rsidR="001E1B40" w:rsidRPr="00925D0E" w:rsidRDefault="00925D0E" w:rsidP="001E1B40">
            <w:pPr>
              <w:jc w:val="right"/>
              <w:rPr>
                <w:rFonts w:ascii="HelveticaNeueLT Std" w:hAnsi="HelveticaNeueLT Std"/>
                <w:b/>
                <w:sz w:val="20"/>
                <w:szCs w:val="20"/>
              </w:rPr>
            </w:pPr>
            <w:r w:rsidRPr="00925D0E">
              <w:rPr>
                <w:rFonts w:ascii="HelveticaNeueLT Std" w:hAnsi="HelveticaNeueLT Std"/>
                <w:b/>
                <w:sz w:val="20"/>
                <w:szCs w:val="20"/>
              </w:rPr>
              <w:t>$199,600</w:t>
            </w:r>
          </w:p>
        </w:tc>
        <w:tc>
          <w:tcPr>
            <w:tcW w:w="1350" w:type="dxa"/>
            <w:vAlign w:val="bottom"/>
          </w:tcPr>
          <w:p w:rsidR="001E1B40" w:rsidRPr="00925D0E" w:rsidRDefault="00925D0E" w:rsidP="001E1B40">
            <w:pPr>
              <w:jc w:val="right"/>
              <w:rPr>
                <w:rFonts w:ascii="HelveticaNeueLT Std" w:hAnsi="HelveticaNeueLT Std"/>
                <w:b/>
                <w:sz w:val="20"/>
                <w:szCs w:val="20"/>
              </w:rPr>
            </w:pPr>
            <w:r w:rsidRPr="00925D0E">
              <w:rPr>
                <w:rFonts w:ascii="HelveticaNeueLT Std" w:hAnsi="HelveticaNeueLT Std"/>
                <w:b/>
                <w:sz w:val="20"/>
                <w:szCs w:val="20"/>
              </w:rPr>
              <w:t>$11,969,800</w:t>
            </w:r>
          </w:p>
        </w:tc>
        <w:tc>
          <w:tcPr>
            <w:tcW w:w="1350" w:type="dxa"/>
            <w:vAlign w:val="bottom"/>
          </w:tcPr>
          <w:p w:rsidR="001E1B40" w:rsidRPr="00925D0E" w:rsidRDefault="00925D0E" w:rsidP="00D92723">
            <w:pPr>
              <w:jc w:val="right"/>
              <w:rPr>
                <w:rFonts w:ascii="HelveticaNeueLT Std" w:hAnsi="HelveticaNeueLT Std"/>
                <w:b/>
                <w:sz w:val="20"/>
                <w:szCs w:val="20"/>
              </w:rPr>
            </w:pPr>
            <w:r w:rsidRPr="00925D0E">
              <w:rPr>
                <w:rFonts w:ascii="HelveticaNeueLT Std" w:hAnsi="HelveticaNeueLT Std"/>
                <w:b/>
                <w:sz w:val="20"/>
                <w:szCs w:val="20"/>
              </w:rPr>
              <w:t>($1,</w:t>
            </w:r>
            <w:r w:rsidR="00D92723">
              <w:rPr>
                <w:rFonts w:ascii="HelveticaNeueLT Std" w:hAnsi="HelveticaNeueLT Std"/>
                <w:b/>
                <w:sz w:val="20"/>
                <w:szCs w:val="20"/>
              </w:rPr>
              <w:t>172</w:t>
            </w:r>
            <w:r w:rsidRPr="00925D0E">
              <w:rPr>
                <w:rFonts w:ascii="HelveticaNeueLT Std" w:hAnsi="HelveticaNeueLT Std"/>
                <w:b/>
                <w:sz w:val="20"/>
                <w:szCs w:val="20"/>
              </w:rPr>
              <w:t>,</w:t>
            </w:r>
            <w:r w:rsidR="00D92723">
              <w:rPr>
                <w:rFonts w:ascii="HelveticaNeueLT Std" w:hAnsi="HelveticaNeueLT Std"/>
                <w:b/>
                <w:sz w:val="20"/>
                <w:szCs w:val="20"/>
              </w:rPr>
              <w:t>9</w:t>
            </w:r>
            <w:r w:rsidRPr="00925D0E">
              <w:rPr>
                <w:rFonts w:ascii="HelveticaNeueLT Std" w:hAnsi="HelveticaNeueLT Std"/>
                <w:b/>
                <w:sz w:val="20"/>
                <w:szCs w:val="20"/>
              </w:rPr>
              <w:t>00)</w:t>
            </w:r>
          </w:p>
        </w:tc>
      </w:tr>
    </w:tbl>
    <w:p w:rsidR="007F676A" w:rsidRDefault="007F676A" w:rsidP="00AC3A8B"/>
    <w:p w:rsidR="00A82DB3" w:rsidRDefault="00925D0E" w:rsidP="00AC3A8B">
      <w:r>
        <w:t xml:space="preserve">As illustrated in the table above, local municipalities </w:t>
      </w:r>
      <w:r w:rsidR="00A82DB3">
        <w:t xml:space="preserve">are incurring a phase-down in OMPF funding and will continue to see reduced funding as Transitional Assistance is </w:t>
      </w:r>
      <w:r w:rsidR="00F608B3">
        <w:t xml:space="preserve">reduced in </w:t>
      </w:r>
      <w:r w:rsidR="00A82DB3">
        <w:t>the future</w:t>
      </w:r>
      <w:r w:rsidR="00AA1DC7">
        <w:t xml:space="preserve"> and as the upload of social costs continue through to 2018</w:t>
      </w:r>
      <w:r w:rsidR="00A82DB3">
        <w:t xml:space="preserve">.  </w:t>
      </w:r>
    </w:p>
    <w:p w:rsidR="00A82DB3" w:rsidRDefault="00A82DB3" w:rsidP="00AC3A8B">
      <w:r>
        <w:t>In order to reduce the tax burden on the local municipalities it is being recommended that the following action</w:t>
      </w:r>
      <w:r w:rsidR="00AA1DC7">
        <w:t>s</w:t>
      </w:r>
      <w:r>
        <w:t xml:space="preserve"> be </w:t>
      </w:r>
      <w:r w:rsidR="00D92723">
        <w:t>considered</w:t>
      </w:r>
      <w:r>
        <w:t>:</w:t>
      </w:r>
    </w:p>
    <w:p w:rsidR="00F95D06" w:rsidRDefault="00F95D06" w:rsidP="00A82DB3">
      <w:pPr>
        <w:pStyle w:val="ListParagraph"/>
        <w:numPr>
          <w:ilvl w:val="0"/>
          <w:numId w:val="4"/>
        </w:numPr>
      </w:pPr>
      <w:r>
        <w:t xml:space="preserve">Include in the County’s 2015 budget, a reduction of $2,323,236 in taxation with the removal of the transfer to reserve for future capital.  This will provide an estimated 4.47% levy reduction that would assist local municipalities by way of </w:t>
      </w:r>
      <w:r w:rsidR="005159C2">
        <w:t xml:space="preserve">a </w:t>
      </w:r>
      <w:r>
        <w:t>lower County tax rate to assist local municipalities in offsetting losses of OMPF funding.</w:t>
      </w:r>
    </w:p>
    <w:p w:rsidR="00FD2D7D" w:rsidRDefault="00F95D06" w:rsidP="00A82DB3">
      <w:pPr>
        <w:pStyle w:val="ListParagraph"/>
        <w:numPr>
          <w:ilvl w:val="0"/>
          <w:numId w:val="4"/>
        </w:numPr>
      </w:pPr>
      <w:r>
        <w:t>Utilize any 2015-2018 budget savings realized as a result of the upload of social services costs to reduce the County’s budgeted levy requirements.</w:t>
      </w:r>
    </w:p>
    <w:p w:rsidR="00AA4F69" w:rsidRPr="00C65DB1" w:rsidRDefault="00FD2D7D" w:rsidP="00C65DB1">
      <w:pPr>
        <w:pStyle w:val="ListParagraph"/>
        <w:numPr>
          <w:ilvl w:val="0"/>
          <w:numId w:val="4"/>
        </w:numPr>
      </w:pPr>
      <w:r w:rsidRPr="00C65DB1">
        <w:t>Distribute in 201</w:t>
      </w:r>
      <w:r w:rsidR="00100FCB" w:rsidRPr="00C65DB1">
        <w:t xml:space="preserve">5, $2,825,743 or 50% of the $5,651,486 in </w:t>
      </w:r>
      <w:r w:rsidRPr="00C65DB1">
        <w:t xml:space="preserve">provincial social services uploaded savings that have been placed in the County’s Future Infrastructure Reserve to each local municipality based on the assessment values that the County used to calculate taxation.  This will put funds back into </w:t>
      </w:r>
      <w:r w:rsidRPr="00C65DB1">
        <w:lastRenderedPageBreak/>
        <w:t>the hands of the local municipalities to provide funding for projects that may have not been undertaken, as projects may have been removed from local budget plans to accommodate the loss in OMPF funding.</w:t>
      </w:r>
      <w:r w:rsidR="00D3266B" w:rsidRPr="00C65DB1">
        <w:t xml:space="preserve">  The recommendation of allocating 50% of these reserve funds would also then provide </w:t>
      </w:r>
      <w:r w:rsidR="00713A50" w:rsidRPr="00C65DB1">
        <w:t>future</w:t>
      </w:r>
      <w:r w:rsidR="00D3266B" w:rsidRPr="00C65DB1">
        <w:t xml:space="preserve"> County budget</w:t>
      </w:r>
      <w:r w:rsidR="00713A50" w:rsidRPr="00C65DB1">
        <w:t>s</w:t>
      </w:r>
      <w:r w:rsidR="00D3266B" w:rsidRPr="00C65DB1">
        <w:t xml:space="preserve"> with infrastructure funding to aid its infrastructure deficit and to assist </w:t>
      </w:r>
      <w:r w:rsidR="00713A50" w:rsidRPr="00C65DB1">
        <w:t>in transitioning budgetary capital increases that are required as per the County’s Asset Management Plan.</w:t>
      </w:r>
    </w:p>
    <w:p w:rsidR="00D3266B" w:rsidRDefault="00FC5774">
      <w:r>
        <w:t>To illustrate the estimated impact that these actions would have, if approved in the 2015 budget, the following 2 tables have been provided.</w:t>
      </w:r>
      <w:r w:rsidR="00586264">
        <w:t xml:space="preserve"> </w:t>
      </w:r>
    </w:p>
    <w:p w:rsidR="004D57A9" w:rsidRDefault="004D57A9" w:rsidP="00AC3A8B">
      <w:r>
        <w:t>Table 2 – Proposed 201</w:t>
      </w:r>
      <w:r w:rsidR="008E4C7F">
        <w:t>5</w:t>
      </w:r>
      <w:r>
        <w:t xml:space="preserve"> Allocation of County Infrastructure Reserve Fund</w:t>
      </w:r>
    </w:p>
    <w:tbl>
      <w:tblPr>
        <w:tblStyle w:val="TableGrid"/>
        <w:tblW w:w="0" w:type="auto"/>
        <w:tblLook w:val="04A0" w:firstRow="1" w:lastRow="0" w:firstColumn="1" w:lastColumn="0" w:noHBand="0" w:noVBand="1"/>
        <w:tblCaption w:val="Table 2 - Proposed 2014 Allocation of County Infrastructure Reserve Fund"/>
      </w:tblPr>
      <w:tblGrid>
        <w:gridCol w:w="1751"/>
        <w:gridCol w:w="1420"/>
        <w:gridCol w:w="1537"/>
      </w:tblGrid>
      <w:tr w:rsidR="00D33FC0" w:rsidRPr="00AA1DC7" w:rsidTr="002725E7">
        <w:trPr>
          <w:tblHeader/>
        </w:trPr>
        <w:tc>
          <w:tcPr>
            <w:tcW w:w="1751" w:type="dxa"/>
            <w:vAlign w:val="bottom"/>
          </w:tcPr>
          <w:p w:rsidR="00D33FC0" w:rsidRPr="00AA1DC7" w:rsidRDefault="00D33FC0" w:rsidP="00AA1DC7">
            <w:pPr>
              <w:jc w:val="center"/>
              <w:rPr>
                <w:b/>
                <w:sz w:val="20"/>
                <w:szCs w:val="20"/>
              </w:rPr>
            </w:pPr>
            <w:r w:rsidRPr="00AA1DC7">
              <w:rPr>
                <w:b/>
                <w:sz w:val="20"/>
                <w:szCs w:val="20"/>
              </w:rPr>
              <w:t>Municipality</w:t>
            </w:r>
          </w:p>
        </w:tc>
        <w:tc>
          <w:tcPr>
            <w:tcW w:w="1420" w:type="dxa"/>
            <w:vAlign w:val="bottom"/>
          </w:tcPr>
          <w:p w:rsidR="00D33FC0" w:rsidRDefault="00D33FC0" w:rsidP="00AA1DC7">
            <w:pPr>
              <w:jc w:val="center"/>
              <w:rPr>
                <w:b/>
                <w:sz w:val="20"/>
                <w:szCs w:val="20"/>
              </w:rPr>
            </w:pPr>
            <w:r w:rsidRPr="00AA1DC7">
              <w:rPr>
                <w:b/>
                <w:sz w:val="20"/>
                <w:szCs w:val="20"/>
              </w:rPr>
              <w:t>2014</w:t>
            </w:r>
          </w:p>
          <w:p w:rsidR="00D33FC0" w:rsidRPr="00AA1DC7" w:rsidRDefault="00D33FC0" w:rsidP="00D33FC0">
            <w:pPr>
              <w:jc w:val="center"/>
              <w:rPr>
                <w:b/>
                <w:sz w:val="20"/>
                <w:szCs w:val="20"/>
              </w:rPr>
            </w:pPr>
            <w:r>
              <w:rPr>
                <w:b/>
                <w:sz w:val="20"/>
                <w:szCs w:val="20"/>
              </w:rPr>
              <w:t>Budgeted Levy Contribution Percentages</w:t>
            </w:r>
          </w:p>
        </w:tc>
        <w:tc>
          <w:tcPr>
            <w:tcW w:w="1524" w:type="dxa"/>
            <w:vAlign w:val="bottom"/>
          </w:tcPr>
          <w:p w:rsidR="00D33FC0" w:rsidRDefault="00D33FC0" w:rsidP="00D33FC0">
            <w:pPr>
              <w:jc w:val="center"/>
              <w:rPr>
                <w:b/>
                <w:sz w:val="20"/>
                <w:szCs w:val="20"/>
              </w:rPr>
            </w:pPr>
            <w:r w:rsidRPr="00AA1DC7">
              <w:rPr>
                <w:b/>
                <w:sz w:val="20"/>
                <w:szCs w:val="20"/>
              </w:rPr>
              <w:t>201</w:t>
            </w:r>
            <w:r w:rsidR="008E4C7F">
              <w:rPr>
                <w:b/>
                <w:sz w:val="20"/>
                <w:szCs w:val="20"/>
              </w:rPr>
              <w:t>5</w:t>
            </w:r>
          </w:p>
          <w:p w:rsidR="00D33FC0" w:rsidRPr="00AA1DC7" w:rsidRDefault="009F463F" w:rsidP="009F463F">
            <w:pPr>
              <w:jc w:val="center"/>
              <w:rPr>
                <w:b/>
                <w:sz w:val="20"/>
                <w:szCs w:val="20"/>
              </w:rPr>
            </w:pPr>
            <w:r>
              <w:rPr>
                <w:b/>
                <w:sz w:val="20"/>
                <w:szCs w:val="20"/>
              </w:rPr>
              <w:t xml:space="preserve">County </w:t>
            </w:r>
            <w:r w:rsidR="00D33FC0" w:rsidRPr="00AA1DC7">
              <w:rPr>
                <w:b/>
                <w:sz w:val="20"/>
                <w:szCs w:val="20"/>
              </w:rPr>
              <w:t>Reserve Distribution</w:t>
            </w:r>
            <w:r w:rsidR="00F608B3">
              <w:rPr>
                <w:b/>
                <w:sz w:val="20"/>
                <w:szCs w:val="20"/>
              </w:rPr>
              <w:t xml:space="preserve"> to Local Municipalities</w:t>
            </w:r>
          </w:p>
        </w:tc>
      </w:tr>
      <w:tr w:rsidR="00D33FC0" w:rsidRPr="00AA1DC7" w:rsidTr="00D33FC0">
        <w:tc>
          <w:tcPr>
            <w:tcW w:w="1751" w:type="dxa"/>
          </w:tcPr>
          <w:p w:rsidR="00D33FC0" w:rsidRPr="00AA1DC7" w:rsidRDefault="00D33FC0" w:rsidP="00AC3A8B">
            <w:pPr>
              <w:rPr>
                <w:b/>
                <w:sz w:val="20"/>
                <w:szCs w:val="20"/>
              </w:rPr>
            </w:pPr>
            <w:r>
              <w:rPr>
                <w:b/>
                <w:sz w:val="20"/>
                <w:szCs w:val="20"/>
              </w:rPr>
              <w:t>Chatsworth</w:t>
            </w:r>
          </w:p>
        </w:tc>
        <w:tc>
          <w:tcPr>
            <w:tcW w:w="1420" w:type="dxa"/>
            <w:vAlign w:val="bottom"/>
          </w:tcPr>
          <w:p w:rsidR="00D33FC0" w:rsidRPr="00AA1DC7" w:rsidRDefault="00D33FC0" w:rsidP="00AA1DC7">
            <w:pPr>
              <w:jc w:val="right"/>
              <w:rPr>
                <w:b/>
                <w:sz w:val="20"/>
                <w:szCs w:val="20"/>
              </w:rPr>
            </w:pPr>
            <w:r>
              <w:rPr>
                <w:b/>
                <w:sz w:val="20"/>
                <w:szCs w:val="20"/>
              </w:rPr>
              <w:t>5.1692%</w:t>
            </w:r>
          </w:p>
        </w:tc>
        <w:tc>
          <w:tcPr>
            <w:tcW w:w="1524" w:type="dxa"/>
            <w:vAlign w:val="bottom"/>
          </w:tcPr>
          <w:p w:rsidR="00D33FC0" w:rsidRPr="00AA1DC7" w:rsidRDefault="00D33FC0" w:rsidP="00100FCB">
            <w:pPr>
              <w:jc w:val="right"/>
              <w:rPr>
                <w:b/>
                <w:sz w:val="20"/>
                <w:szCs w:val="20"/>
              </w:rPr>
            </w:pPr>
            <w:r>
              <w:rPr>
                <w:b/>
                <w:sz w:val="20"/>
                <w:szCs w:val="20"/>
              </w:rPr>
              <w:t>$</w:t>
            </w:r>
            <w:r w:rsidR="00100FCB">
              <w:rPr>
                <w:b/>
                <w:sz w:val="20"/>
                <w:szCs w:val="20"/>
              </w:rPr>
              <w:t>146</w:t>
            </w:r>
            <w:r>
              <w:rPr>
                <w:b/>
                <w:sz w:val="20"/>
                <w:szCs w:val="20"/>
              </w:rPr>
              <w:t>,</w:t>
            </w:r>
            <w:r w:rsidR="00100FCB">
              <w:rPr>
                <w:b/>
                <w:sz w:val="20"/>
                <w:szCs w:val="20"/>
              </w:rPr>
              <w:t>068</w:t>
            </w:r>
          </w:p>
        </w:tc>
      </w:tr>
      <w:tr w:rsidR="00D33FC0" w:rsidRPr="00AA1DC7" w:rsidTr="00D33FC0">
        <w:tc>
          <w:tcPr>
            <w:tcW w:w="1751" w:type="dxa"/>
          </w:tcPr>
          <w:p w:rsidR="00D33FC0" w:rsidRPr="00AA1DC7" w:rsidRDefault="00D33FC0" w:rsidP="00AC3A8B">
            <w:pPr>
              <w:rPr>
                <w:b/>
                <w:sz w:val="20"/>
                <w:szCs w:val="20"/>
              </w:rPr>
            </w:pPr>
            <w:r>
              <w:rPr>
                <w:b/>
                <w:sz w:val="20"/>
                <w:szCs w:val="20"/>
              </w:rPr>
              <w:t>Georgian Bluffs</w:t>
            </w:r>
          </w:p>
        </w:tc>
        <w:tc>
          <w:tcPr>
            <w:tcW w:w="1420" w:type="dxa"/>
            <w:vAlign w:val="bottom"/>
          </w:tcPr>
          <w:p w:rsidR="00D33FC0" w:rsidRPr="00AA1DC7" w:rsidRDefault="00D33FC0" w:rsidP="00AA1DC7">
            <w:pPr>
              <w:jc w:val="right"/>
              <w:rPr>
                <w:b/>
                <w:sz w:val="20"/>
                <w:szCs w:val="20"/>
              </w:rPr>
            </w:pPr>
            <w:r>
              <w:rPr>
                <w:b/>
                <w:sz w:val="20"/>
                <w:szCs w:val="20"/>
              </w:rPr>
              <w:t>11.0353%</w:t>
            </w:r>
          </w:p>
        </w:tc>
        <w:tc>
          <w:tcPr>
            <w:tcW w:w="1524" w:type="dxa"/>
            <w:vAlign w:val="bottom"/>
          </w:tcPr>
          <w:p w:rsidR="00D33FC0" w:rsidRPr="00AA1DC7" w:rsidRDefault="00D33FC0" w:rsidP="00100FCB">
            <w:pPr>
              <w:jc w:val="right"/>
              <w:rPr>
                <w:b/>
                <w:sz w:val="20"/>
                <w:szCs w:val="20"/>
              </w:rPr>
            </w:pPr>
            <w:r>
              <w:rPr>
                <w:b/>
                <w:sz w:val="20"/>
                <w:szCs w:val="20"/>
              </w:rPr>
              <w:t>$</w:t>
            </w:r>
            <w:r w:rsidR="00100FCB">
              <w:rPr>
                <w:b/>
                <w:sz w:val="20"/>
                <w:szCs w:val="20"/>
              </w:rPr>
              <w:t>311</w:t>
            </w:r>
            <w:r>
              <w:rPr>
                <w:b/>
                <w:sz w:val="20"/>
                <w:szCs w:val="20"/>
              </w:rPr>
              <w:t>,</w:t>
            </w:r>
            <w:r w:rsidR="00100FCB">
              <w:rPr>
                <w:b/>
                <w:sz w:val="20"/>
                <w:szCs w:val="20"/>
              </w:rPr>
              <w:t>829</w:t>
            </w:r>
          </w:p>
        </w:tc>
      </w:tr>
      <w:tr w:rsidR="00D33FC0" w:rsidRPr="00AA1DC7" w:rsidTr="00D33FC0">
        <w:tc>
          <w:tcPr>
            <w:tcW w:w="1751" w:type="dxa"/>
          </w:tcPr>
          <w:p w:rsidR="00D33FC0" w:rsidRPr="00AA1DC7" w:rsidRDefault="00D33FC0" w:rsidP="00AC3A8B">
            <w:pPr>
              <w:rPr>
                <w:b/>
                <w:sz w:val="20"/>
                <w:szCs w:val="20"/>
              </w:rPr>
            </w:pPr>
            <w:r>
              <w:rPr>
                <w:b/>
                <w:sz w:val="20"/>
                <w:szCs w:val="20"/>
              </w:rPr>
              <w:t>Grey Highlands</w:t>
            </w:r>
          </w:p>
        </w:tc>
        <w:tc>
          <w:tcPr>
            <w:tcW w:w="1420" w:type="dxa"/>
            <w:vAlign w:val="bottom"/>
          </w:tcPr>
          <w:p w:rsidR="00D33FC0" w:rsidRPr="00AA1DC7" w:rsidRDefault="00D33FC0" w:rsidP="00AA1DC7">
            <w:pPr>
              <w:jc w:val="right"/>
              <w:rPr>
                <w:b/>
                <w:sz w:val="20"/>
                <w:szCs w:val="20"/>
              </w:rPr>
            </w:pPr>
            <w:r>
              <w:rPr>
                <w:b/>
                <w:sz w:val="20"/>
                <w:szCs w:val="20"/>
              </w:rPr>
              <w:t>11.4268%</w:t>
            </w:r>
          </w:p>
        </w:tc>
        <w:tc>
          <w:tcPr>
            <w:tcW w:w="1524" w:type="dxa"/>
            <w:vAlign w:val="bottom"/>
          </w:tcPr>
          <w:p w:rsidR="00D33FC0" w:rsidRPr="00AA1DC7" w:rsidRDefault="00D33FC0" w:rsidP="00100FCB">
            <w:pPr>
              <w:jc w:val="right"/>
              <w:rPr>
                <w:b/>
                <w:sz w:val="20"/>
                <w:szCs w:val="20"/>
              </w:rPr>
            </w:pPr>
            <w:r>
              <w:rPr>
                <w:b/>
                <w:sz w:val="20"/>
                <w:szCs w:val="20"/>
              </w:rPr>
              <w:t>$</w:t>
            </w:r>
            <w:r w:rsidR="00100FCB">
              <w:rPr>
                <w:b/>
                <w:sz w:val="20"/>
                <w:szCs w:val="20"/>
              </w:rPr>
              <w:t>322</w:t>
            </w:r>
            <w:r>
              <w:rPr>
                <w:b/>
                <w:sz w:val="20"/>
                <w:szCs w:val="20"/>
              </w:rPr>
              <w:t>,</w:t>
            </w:r>
            <w:r w:rsidR="00100FCB">
              <w:rPr>
                <w:b/>
                <w:sz w:val="20"/>
                <w:szCs w:val="20"/>
              </w:rPr>
              <w:t>892</w:t>
            </w:r>
          </w:p>
        </w:tc>
      </w:tr>
      <w:tr w:rsidR="00D33FC0" w:rsidRPr="00C65DB1" w:rsidTr="00D33FC0">
        <w:tc>
          <w:tcPr>
            <w:tcW w:w="1751" w:type="dxa"/>
          </w:tcPr>
          <w:p w:rsidR="00D33FC0" w:rsidRPr="00AA1DC7" w:rsidRDefault="00D33FC0" w:rsidP="00AC3A8B">
            <w:pPr>
              <w:rPr>
                <w:b/>
                <w:sz w:val="20"/>
                <w:szCs w:val="20"/>
              </w:rPr>
            </w:pPr>
            <w:r>
              <w:rPr>
                <w:b/>
                <w:sz w:val="20"/>
                <w:szCs w:val="20"/>
              </w:rPr>
              <w:t>Hanover</w:t>
            </w:r>
          </w:p>
        </w:tc>
        <w:tc>
          <w:tcPr>
            <w:tcW w:w="1420" w:type="dxa"/>
            <w:vAlign w:val="bottom"/>
          </w:tcPr>
          <w:p w:rsidR="00D33FC0" w:rsidRPr="00AA1DC7" w:rsidRDefault="00D33FC0" w:rsidP="00AA1DC7">
            <w:pPr>
              <w:jc w:val="right"/>
              <w:rPr>
                <w:b/>
                <w:sz w:val="20"/>
                <w:szCs w:val="20"/>
              </w:rPr>
            </w:pPr>
            <w:r>
              <w:rPr>
                <w:b/>
                <w:sz w:val="20"/>
                <w:szCs w:val="20"/>
              </w:rPr>
              <w:t>5.2017%</w:t>
            </w:r>
          </w:p>
        </w:tc>
        <w:tc>
          <w:tcPr>
            <w:tcW w:w="1524" w:type="dxa"/>
            <w:vAlign w:val="bottom"/>
          </w:tcPr>
          <w:p w:rsidR="00D33FC0" w:rsidRPr="00AA1DC7" w:rsidRDefault="00D33FC0" w:rsidP="00100FCB">
            <w:pPr>
              <w:jc w:val="right"/>
              <w:rPr>
                <w:b/>
                <w:sz w:val="20"/>
                <w:szCs w:val="20"/>
              </w:rPr>
            </w:pPr>
            <w:r>
              <w:rPr>
                <w:b/>
                <w:sz w:val="20"/>
                <w:szCs w:val="20"/>
              </w:rPr>
              <w:t>$</w:t>
            </w:r>
            <w:r w:rsidR="00100FCB">
              <w:rPr>
                <w:b/>
                <w:sz w:val="20"/>
                <w:szCs w:val="20"/>
              </w:rPr>
              <w:t>146</w:t>
            </w:r>
            <w:r>
              <w:rPr>
                <w:b/>
                <w:sz w:val="20"/>
                <w:szCs w:val="20"/>
              </w:rPr>
              <w:t>,</w:t>
            </w:r>
            <w:r w:rsidR="00100FCB">
              <w:rPr>
                <w:b/>
                <w:sz w:val="20"/>
                <w:szCs w:val="20"/>
              </w:rPr>
              <w:t>987</w:t>
            </w:r>
          </w:p>
        </w:tc>
      </w:tr>
      <w:tr w:rsidR="00D33FC0" w:rsidRPr="00AA1DC7" w:rsidTr="00D33FC0">
        <w:tc>
          <w:tcPr>
            <w:tcW w:w="1751" w:type="dxa"/>
          </w:tcPr>
          <w:p w:rsidR="00D33FC0" w:rsidRPr="00AA1DC7" w:rsidRDefault="00D33FC0" w:rsidP="00AC3A8B">
            <w:pPr>
              <w:rPr>
                <w:b/>
                <w:sz w:val="20"/>
                <w:szCs w:val="20"/>
              </w:rPr>
            </w:pPr>
            <w:r>
              <w:rPr>
                <w:b/>
                <w:sz w:val="20"/>
                <w:szCs w:val="20"/>
              </w:rPr>
              <w:t>Meaford</w:t>
            </w:r>
          </w:p>
        </w:tc>
        <w:tc>
          <w:tcPr>
            <w:tcW w:w="1420" w:type="dxa"/>
            <w:vAlign w:val="bottom"/>
          </w:tcPr>
          <w:p w:rsidR="00D33FC0" w:rsidRPr="00AA1DC7" w:rsidRDefault="00D33FC0" w:rsidP="00AA1DC7">
            <w:pPr>
              <w:jc w:val="right"/>
              <w:rPr>
                <w:b/>
                <w:sz w:val="20"/>
                <w:szCs w:val="20"/>
              </w:rPr>
            </w:pPr>
            <w:r>
              <w:rPr>
                <w:b/>
                <w:sz w:val="20"/>
                <w:szCs w:val="20"/>
              </w:rPr>
              <w:t>11.6304%</w:t>
            </w:r>
          </w:p>
        </w:tc>
        <w:tc>
          <w:tcPr>
            <w:tcW w:w="1524" w:type="dxa"/>
            <w:vAlign w:val="bottom"/>
          </w:tcPr>
          <w:p w:rsidR="00D33FC0" w:rsidRPr="00AA1DC7" w:rsidRDefault="00D33FC0" w:rsidP="00100FCB">
            <w:pPr>
              <w:jc w:val="right"/>
              <w:rPr>
                <w:b/>
                <w:sz w:val="20"/>
                <w:szCs w:val="20"/>
              </w:rPr>
            </w:pPr>
            <w:r>
              <w:rPr>
                <w:b/>
                <w:sz w:val="20"/>
                <w:szCs w:val="20"/>
              </w:rPr>
              <w:t>$</w:t>
            </w:r>
            <w:r w:rsidR="00100FCB">
              <w:rPr>
                <w:b/>
                <w:sz w:val="20"/>
                <w:szCs w:val="20"/>
              </w:rPr>
              <w:t>328</w:t>
            </w:r>
            <w:r>
              <w:rPr>
                <w:b/>
                <w:sz w:val="20"/>
                <w:szCs w:val="20"/>
              </w:rPr>
              <w:t>,</w:t>
            </w:r>
            <w:r w:rsidR="00100FCB">
              <w:rPr>
                <w:b/>
                <w:sz w:val="20"/>
                <w:szCs w:val="20"/>
              </w:rPr>
              <w:t>645</w:t>
            </w:r>
          </w:p>
        </w:tc>
      </w:tr>
      <w:tr w:rsidR="00D33FC0" w:rsidRPr="00AA1DC7" w:rsidTr="00D33FC0">
        <w:tc>
          <w:tcPr>
            <w:tcW w:w="1751" w:type="dxa"/>
          </w:tcPr>
          <w:p w:rsidR="00D33FC0" w:rsidRPr="00AA1DC7" w:rsidRDefault="00D33FC0" w:rsidP="00AC3A8B">
            <w:pPr>
              <w:rPr>
                <w:b/>
                <w:sz w:val="20"/>
                <w:szCs w:val="20"/>
              </w:rPr>
            </w:pPr>
            <w:r>
              <w:rPr>
                <w:b/>
                <w:sz w:val="20"/>
                <w:szCs w:val="20"/>
              </w:rPr>
              <w:t>Owen Sound</w:t>
            </w:r>
          </w:p>
        </w:tc>
        <w:tc>
          <w:tcPr>
            <w:tcW w:w="1420" w:type="dxa"/>
            <w:vAlign w:val="bottom"/>
          </w:tcPr>
          <w:p w:rsidR="00D33FC0" w:rsidRPr="00AA1DC7" w:rsidRDefault="00D33FC0" w:rsidP="00AA1DC7">
            <w:pPr>
              <w:jc w:val="right"/>
              <w:rPr>
                <w:b/>
                <w:sz w:val="20"/>
                <w:szCs w:val="20"/>
              </w:rPr>
            </w:pPr>
            <w:r>
              <w:rPr>
                <w:b/>
                <w:sz w:val="20"/>
                <w:szCs w:val="20"/>
              </w:rPr>
              <w:t>15.3129%</w:t>
            </w:r>
          </w:p>
        </w:tc>
        <w:tc>
          <w:tcPr>
            <w:tcW w:w="1524" w:type="dxa"/>
            <w:vAlign w:val="bottom"/>
          </w:tcPr>
          <w:p w:rsidR="00D33FC0" w:rsidRPr="00AA1DC7" w:rsidRDefault="00D33FC0" w:rsidP="00100FCB">
            <w:pPr>
              <w:jc w:val="right"/>
              <w:rPr>
                <w:b/>
                <w:sz w:val="20"/>
                <w:szCs w:val="20"/>
              </w:rPr>
            </w:pPr>
            <w:r>
              <w:rPr>
                <w:b/>
                <w:sz w:val="20"/>
                <w:szCs w:val="20"/>
              </w:rPr>
              <w:t>$</w:t>
            </w:r>
            <w:r w:rsidR="00100FCB">
              <w:rPr>
                <w:b/>
                <w:sz w:val="20"/>
                <w:szCs w:val="20"/>
              </w:rPr>
              <w:t>432</w:t>
            </w:r>
            <w:r>
              <w:rPr>
                <w:b/>
                <w:sz w:val="20"/>
                <w:szCs w:val="20"/>
              </w:rPr>
              <w:t>,</w:t>
            </w:r>
            <w:r w:rsidR="00100FCB">
              <w:rPr>
                <w:b/>
                <w:sz w:val="20"/>
                <w:szCs w:val="20"/>
              </w:rPr>
              <w:t>703</w:t>
            </w:r>
          </w:p>
        </w:tc>
      </w:tr>
      <w:tr w:rsidR="00D33FC0" w:rsidRPr="00AA1DC7" w:rsidTr="00D33FC0">
        <w:tc>
          <w:tcPr>
            <w:tcW w:w="1751" w:type="dxa"/>
          </w:tcPr>
          <w:p w:rsidR="00D33FC0" w:rsidRPr="00AA1DC7" w:rsidRDefault="00D33FC0" w:rsidP="00AC3A8B">
            <w:pPr>
              <w:rPr>
                <w:b/>
                <w:sz w:val="20"/>
                <w:szCs w:val="20"/>
              </w:rPr>
            </w:pPr>
            <w:r>
              <w:rPr>
                <w:b/>
                <w:sz w:val="20"/>
                <w:szCs w:val="20"/>
              </w:rPr>
              <w:t>Southgate</w:t>
            </w:r>
          </w:p>
        </w:tc>
        <w:tc>
          <w:tcPr>
            <w:tcW w:w="1420" w:type="dxa"/>
            <w:vAlign w:val="bottom"/>
          </w:tcPr>
          <w:p w:rsidR="00D33FC0" w:rsidRPr="00AA1DC7" w:rsidRDefault="00D33FC0" w:rsidP="00AA1DC7">
            <w:pPr>
              <w:jc w:val="right"/>
              <w:rPr>
                <w:b/>
                <w:sz w:val="20"/>
                <w:szCs w:val="20"/>
              </w:rPr>
            </w:pPr>
            <w:r>
              <w:rPr>
                <w:b/>
                <w:sz w:val="20"/>
                <w:szCs w:val="20"/>
              </w:rPr>
              <w:t>4.9934%</w:t>
            </w:r>
          </w:p>
        </w:tc>
        <w:tc>
          <w:tcPr>
            <w:tcW w:w="1524" w:type="dxa"/>
            <w:vAlign w:val="bottom"/>
          </w:tcPr>
          <w:p w:rsidR="00D33FC0" w:rsidRPr="00AA1DC7" w:rsidRDefault="00D33FC0" w:rsidP="00100FCB">
            <w:pPr>
              <w:jc w:val="right"/>
              <w:rPr>
                <w:b/>
                <w:sz w:val="20"/>
                <w:szCs w:val="20"/>
              </w:rPr>
            </w:pPr>
            <w:r>
              <w:rPr>
                <w:b/>
                <w:sz w:val="20"/>
                <w:szCs w:val="20"/>
              </w:rPr>
              <w:t>$</w:t>
            </w:r>
            <w:r w:rsidR="00100FCB">
              <w:rPr>
                <w:b/>
                <w:sz w:val="20"/>
                <w:szCs w:val="20"/>
              </w:rPr>
              <w:t>141</w:t>
            </w:r>
            <w:r>
              <w:rPr>
                <w:b/>
                <w:sz w:val="20"/>
                <w:szCs w:val="20"/>
              </w:rPr>
              <w:t>,</w:t>
            </w:r>
            <w:r w:rsidR="00100FCB">
              <w:rPr>
                <w:b/>
                <w:sz w:val="20"/>
                <w:szCs w:val="20"/>
              </w:rPr>
              <w:t>101</w:t>
            </w:r>
          </w:p>
        </w:tc>
      </w:tr>
      <w:tr w:rsidR="00D33FC0" w:rsidRPr="00AA1DC7" w:rsidTr="00D33FC0">
        <w:tc>
          <w:tcPr>
            <w:tcW w:w="1751" w:type="dxa"/>
          </w:tcPr>
          <w:p w:rsidR="00D33FC0" w:rsidRPr="00AA1DC7" w:rsidRDefault="00D33FC0" w:rsidP="00AC3A8B">
            <w:pPr>
              <w:rPr>
                <w:b/>
                <w:sz w:val="20"/>
                <w:szCs w:val="20"/>
              </w:rPr>
            </w:pPr>
            <w:r>
              <w:rPr>
                <w:b/>
                <w:sz w:val="20"/>
                <w:szCs w:val="20"/>
              </w:rPr>
              <w:t>Blue Mountains</w:t>
            </w:r>
          </w:p>
        </w:tc>
        <w:tc>
          <w:tcPr>
            <w:tcW w:w="1420" w:type="dxa"/>
            <w:vAlign w:val="bottom"/>
          </w:tcPr>
          <w:p w:rsidR="00D33FC0" w:rsidRPr="00AA1DC7" w:rsidRDefault="00D33FC0" w:rsidP="00AA1DC7">
            <w:pPr>
              <w:jc w:val="right"/>
              <w:rPr>
                <w:b/>
                <w:sz w:val="20"/>
                <w:szCs w:val="20"/>
              </w:rPr>
            </w:pPr>
            <w:r>
              <w:rPr>
                <w:b/>
                <w:sz w:val="20"/>
                <w:szCs w:val="20"/>
              </w:rPr>
              <w:t>25.7851%</w:t>
            </w:r>
          </w:p>
        </w:tc>
        <w:tc>
          <w:tcPr>
            <w:tcW w:w="1524" w:type="dxa"/>
            <w:vAlign w:val="bottom"/>
          </w:tcPr>
          <w:p w:rsidR="00D33FC0" w:rsidRPr="00AA1DC7" w:rsidRDefault="00D33FC0" w:rsidP="00100FCB">
            <w:pPr>
              <w:jc w:val="right"/>
              <w:rPr>
                <w:b/>
                <w:sz w:val="20"/>
                <w:szCs w:val="20"/>
              </w:rPr>
            </w:pPr>
            <w:r>
              <w:rPr>
                <w:b/>
                <w:sz w:val="20"/>
                <w:szCs w:val="20"/>
              </w:rPr>
              <w:t>$</w:t>
            </w:r>
            <w:r w:rsidR="00100FCB">
              <w:rPr>
                <w:b/>
                <w:sz w:val="20"/>
                <w:szCs w:val="20"/>
              </w:rPr>
              <w:t>728</w:t>
            </w:r>
            <w:r>
              <w:rPr>
                <w:b/>
                <w:sz w:val="20"/>
                <w:szCs w:val="20"/>
              </w:rPr>
              <w:t>,</w:t>
            </w:r>
            <w:r w:rsidR="00100FCB">
              <w:rPr>
                <w:b/>
                <w:sz w:val="20"/>
                <w:szCs w:val="20"/>
              </w:rPr>
              <w:t>621</w:t>
            </w:r>
          </w:p>
        </w:tc>
      </w:tr>
      <w:tr w:rsidR="00D33FC0" w:rsidRPr="00AA1DC7" w:rsidTr="00D33FC0">
        <w:tc>
          <w:tcPr>
            <w:tcW w:w="1751" w:type="dxa"/>
          </w:tcPr>
          <w:p w:rsidR="00D33FC0" w:rsidRPr="00AA1DC7" w:rsidRDefault="00D33FC0" w:rsidP="00AC3A8B">
            <w:pPr>
              <w:rPr>
                <w:b/>
                <w:sz w:val="20"/>
                <w:szCs w:val="20"/>
              </w:rPr>
            </w:pPr>
            <w:r>
              <w:rPr>
                <w:b/>
                <w:sz w:val="20"/>
                <w:szCs w:val="20"/>
              </w:rPr>
              <w:t>West Grey</w:t>
            </w:r>
          </w:p>
        </w:tc>
        <w:tc>
          <w:tcPr>
            <w:tcW w:w="1420" w:type="dxa"/>
            <w:vAlign w:val="bottom"/>
          </w:tcPr>
          <w:p w:rsidR="00D33FC0" w:rsidRPr="00AA1DC7" w:rsidRDefault="00D33FC0" w:rsidP="00AA1DC7">
            <w:pPr>
              <w:jc w:val="right"/>
              <w:rPr>
                <w:b/>
                <w:sz w:val="20"/>
                <w:szCs w:val="20"/>
              </w:rPr>
            </w:pPr>
            <w:r>
              <w:rPr>
                <w:b/>
                <w:sz w:val="20"/>
                <w:szCs w:val="20"/>
              </w:rPr>
              <w:t>9.4452%</w:t>
            </w:r>
          </w:p>
        </w:tc>
        <w:tc>
          <w:tcPr>
            <w:tcW w:w="1524" w:type="dxa"/>
            <w:vAlign w:val="bottom"/>
          </w:tcPr>
          <w:p w:rsidR="00D33FC0" w:rsidRPr="00AA1DC7" w:rsidRDefault="00D33FC0" w:rsidP="00100FCB">
            <w:pPr>
              <w:jc w:val="right"/>
              <w:rPr>
                <w:b/>
                <w:sz w:val="20"/>
                <w:szCs w:val="20"/>
              </w:rPr>
            </w:pPr>
            <w:r>
              <w:rPr>
                <w:b/>
                <w:sz w:val="20"/>
                <w:szCs w:val="20"/>
              </w:rPr>
              <w:t>$</w:t>
            </w:r>
            <w:r w:rsidR="00100FCB">
              <w:rPr>
                <w:b/>
                <w:sz w:val="20"/>
                <w:szCs w:val="20"/>
              </w:rPr>
              <w:t>266</w:t>
            </w:r>
            <w:r>
              <w:rPr>
                <w:b/>
                <w:sz w:val="20"/>
                <w:szCs w:val="20"/>
              </w:rPr>
              <w:t>,</w:t>
            </w:r>
            <w:r w:rsidR="00100FCB">
              <w:rPr>
                <w:b/>
                <w:sz w:val="20"/>
                <w:szCs w:val="20"/>
              </w:rPr>
              <w:t>897</w:t>
            </w:r>
          </w:p>
        </w:tc>
      </w:tr>
      <w:tr w:rsidR="00D33FC0" w:rsidRPr="00AA1DC7" w:rsidTr="00D33FC0">
        <w:tc>
          <w:tcPr>
            <w:tcW w:w="1751" w:type="dxa"/>
          </w:tcPr>
          <w:p w:rsidR="00D33FC0" w:rsidRPr="00AA1DC7" w:rsidRDefault="00D33FC0" w:rsidP="00AC3A8B">
            <w:pPr>
              <w:rPr>
                <w:b/>
                <w:sz w:val="20"/>
                <w:szCs w:val="20"/>
              </w:rPr>
            </w:pPr>
            <w:r>
              <w:rPr>
                <w:b/>
                <w:sz w:val="20"/>
                <w:szCs w:val="20"/>
              </w:rPr>
              <w:t>Total</w:t>
            </w:r>
          </w:p>
        </w:tc>
        <w:tc>
          <w:tcPr>
            <w:tcW w:w="1420" w:type="dxa"/>
            <w:vAlign w:val="bottom"/>
          </w:tcPr>
          <w:p w:rsidR="00D33FC0" w:rsidRPr="00AA1DC7" w:rsidRDefault="00D33FC0" w:rsidP="00AA1DC7">
            <w:pPr>
              <w:jc w:val="right"/>
              <w:rPr>
                <w:b/>
                <w:sz w:val="20"/>
                <w:szCs w:val="20"/>
              </w:rPr>
            </w:pPr>
            <w:r>
              <w:rPr>
                <w:b/>
                <w:sz w:val="20"/>
                <w:szCs w:val="20"/>
              </w:rPr>
              <w:t>100.0000%</w:t>
            </w:r>
          </w:p>
        </w:tc>
        <w:tc>
          <w:tcPr>
            <w:tcW w:w="1524" w:type="dxa"/>
            <w:vAlign w:val="bottom"/>
          </w:tcPr>
          <w:p w:rsidR="00D33FC0" w:rsidRPr="00AA1DC7" w:rsidRDefault="00D33FC0" w:rsidP="00100FCB">
            <w:pPr>
              <w:jc w:val="right"/>
              <w:rPr>
                <w:b/>
                <w:sz w:val="20"/>
                <w:szCs w:val="20"/>
              </w:rPr>
            </w:pPr>
            <w:r>
              <w:rPr>
                <w:b/>
                <w:sz w:val="20"/>
                <w:szCs w:val="20"/>
              </w:rPr>
              <w:t>$</w:t>
            </w:r>
            <w:r w:rsidR="00100FCB">
              <w:rPr>
                <w:b/>
                <w:sz w:val="20"/>
                <w:szCs w:val="20"/>
              </w:rPr>
              <w:t>2</w:t>
            </w:r>
            <w:r>
              <w:rPr>
                <w:b/>
                <w:sz w:val="20"/>
                <w:szCs w:val="20"/>
              </w:rPr>
              <w:t>,</w:t>
            </w:r>
            <w:r w:rsidR="00100FCB">
              <w:rPr>
                <w:b/>
                <w:sz w:val="20"/>
                <w:szCs w:val="20"/>
              </w:rPr>
              <w:t>825</w:t>
            </w:r>
            <w:r>
              <w:rPr>
                <w:b/>
                <w:sz w:val="20"/>
                <w:szCs w:val="20"/>
              </w:rPr>
              <w:t>,</w:t>
            </w:r>
            <w:r w:rsidR="00100FCB">
              <w:rPr>
                <w:b/>
                <w:sz w:val="20"/>
                <w:szCs w:val="20"/>
              </w:rPr>
              <w:t>743</w:t>
            </w:r>
          </w:p>
        </w:tc>
      </w:tr>
    </w:tbl>
    <w:p w:rsidR="00AA4F69" w:rsidRDefault="00AA4F69" w:rsidP="00AC3A8B"/>
    <w:p w:rsidR="004D57A9" w:rsidRPr="004D57A9" w:rsidRDefault="004D57A9" w:rsidP="00AC3A8B">
      <w:r>
        <w:t>Table 3 – Estimated 2015-2018 County Budget Reductions as a Result of Provincial Uploading of Social Services Costs</w:t>
      </w:r>
    </w:p>
    <w:tbl>
      <w:tblPr>
        <w:tblStyle w:val="TableGrid"/>
        <w:tblW w:w="0" w:type="auto"/>
        <w:tblLook w:val="04A0" w:firstRow="1" w:lastRow="0" w:firstColumn="1" w:lastColumn="0" w:noHBand="0" w:noVBand="1"/>
        <w:tblCaption w:val="Table 3 - Estimated 2015-2018 County Budget Reductions as a Resultof Provincial Uploading of Social Services Costs"/>
        <w:tblDescription w:val="Table 3 - Estimated 2015-2018 County Budget Reductions as a Resultof Provincial Uploading of Social Services Costs"/>
      </w:tblPr>
      <w:tblGrid>
        <w:gridCol w:w="1750"/>
        <w:gridCol w:w="1422"/>
        <w:gridCol w:w="1449"/>
        <w:gridCol w:w="1275"/>
        <w:gridCol w:w="1275"/>
        <w:gridCol w:w="1336"/>
      </w:tblGrid>
      <w:tr w:rsidR="00FD2730" w:rsidRPr="00AA1DC7" w:rsidTr="002725E7">
        <w:trPr>
          <w:tblHeader/>
        </w:trPr>
        <w:tc>
          <w:tcPr>
            <w:tcW w:w="1750" w:type="dxa"/>
            <w:vAlign w:val="bottom"/>
          </w:tcPr>
          <w:p w:rsidR="00D33FC0" w:rsidRPr="00AA1DC7" w:rsidRDefault="00D33FC0" w:rsidP="005B1D5E">
            <w:pPr>
              <w:jc w:val="center"/>
              <w:rPr>
                <w:b/>
                <w:sz w:val="20"/>
                <w:szCs w:val="20"/>
              </w:rPr>
            </w:pPr>
            <w:r w:rsidRPr="00AA1DC7">
              <w:rPr>
                <w:b/>
                <w:sz w:val="20"/>
                <w:szCs w:val="20"/>
              </w:rPr>
              <w:t>Municipality</w:t>
            </w:r>
          </w:p>
        </w:tc>
        <w:tc>
          <w:tcPr>
            <w:tcW w:w="1422" w:type="dxa"/>
            <w:vAlign w:val="bottom"/>
          </w:tcPr>
          <w:p w:rsidR="00D33FC0" w:rsidRPr="00AA1DC7" w:rsidRDefault="00D33FC0" w:rsidP="005B1D5E">
            <w:pPr>
              <w:jc w:val="center"/>
              <w:rPr>
                <w:b/>
                <w:sz w:val="20"/>
                <w:szCs w:val="20"/>
              </w:rPr>
            </w:pPr>
            <w:r w:rsidRPr="00AA1DC7">
              <w:rPr>
                <w:b/>
                <w:sz w:val="20"/>
                <w:szCs w:val="20"/>
              </w:rPr>
              <w:t>2015 Estimated County Budget Reduction</w:t>
            </w:r>
            <w:r>
              <w:rPr>
                <w:b/>
                <w:sz w:val="20"/>
                <w:szCs w:val="20"/>
              </w:rPr>
              <w:t>*</w:t>
            </w:r>
          </w:p>
        </w:tc>
        <w:tc>
          <w:tcPr>
            <w:tcW w:w="1449" w:type="dxa"/>
            <w:vAlign w:val="bottom"/>
          </w:tcPr>
          <w:p w:rsidR="00D33FC0" w:rsidRPr="00AA1DC7" w:rsidRDefault="00D33FC0" w:rsidP="005B1D5E">
            <w:pPr>
              <w:jc w:val="center"/>
              <w:rPr>
                <w:b/>
                <w:sz w:val="20"/>
                <w:szCs w:val="20"/>
              </w:rPr>
            </w:pPr>
            <w:r w:rsidRPr="00AA1DC7">
              <w:rPr>
                <w:b/>
                <w:sz w:val="20"/>
                <w:szCs w:val="20"/>
              </w:rPr>
              <w:t>2016 Estimated County Budget Reduction</w:t>
            </w:r>
            <w:r>
              <w:rPr>
                <w:b/>
                <w:sz w:val="20"/>
                <w:szCs w:val="20"/>
              </w:rPr>
              <w:t>*</w:t>
            </w:r>
          </w:p>
        </w:tc>
        <w:tc>
          <w:tcPr>
            <w:tcW w:w="1275" w:type="dxa"/>
            <w:vAlign w:val="bottom"/>
          </w:tcPr>
          <w:p w:rsidR="00D33FC0" w:rsidRPr="00AA1DC7" w:rsidRDefault="00D33FC0" w:rsidP="005B1D5E">
            <w:pPr>
              <w:jc w:val="center"/>
              <w:rPr>
                <w:b/>
                <w:sz w:val="20"/>
                <w:szCs w:val="20"/>
              </w:rPr>
            </w:pPr>
            <w:r w:rsidRPr="00AA1DC7">
              <w:rPr>
                <w:b/>
                <w:sz w:val="20"/>
                <w:szCs w:val="20"/>
              </w:rPr>
              <w:t>2017 Estimated County Budget Reduction</w:t>
            </w:r>
            <w:r>
              <w:rPr>
                <w:b/>
                <w:sz w:val="20"/>
                <w:szCs w:val="20"/>
              </w:rPr>
              <w:t>*</w:t>
            </w:r>
          </w:p>
        </w:tc>
        <w:tc>
          <w:tcPr>
            <w:tcW w:w="1275" w:type="dxa"/>
            <w:vAlign w:val="bottom"/>
          </w:tcPr>
          <w:p w:rsidR="00D33FC0" w:rsidRPr="00AA1DC7" w:rsidRDefault="00D33FC0" w:rsidP="005B1D5E">
            <w:pPr>
              <w:jc w:val="center"/>
              <w:rPr>
                <w:b/>
                <w:sz w:val="20"/>
                <w:szCs w:val="20"/>
              </w:rPr>
            </w:pPr>
            <w:r w:rsidRPr="00AA1DC7">
              <w:rPr>
                <w:b/>
                <w:sz w:val="20"/>
                <w:szCs w:val="20"/>
              </w:rPr>
              <w:t>2018 Estimated County Budget Reduction</w:t>
            </w:r>
            <w:r>
              <w:rPr>
                <w:b/>
                <w:sz w:val="20"/>
                <w:szCs w:val="20"/>
              </w:rPr>
              <w:t>*</w:t>
            </w:r>
          </w:p>
        </w:tc>
        <w:tc>
          <w:tcPr>
            <w:tcW w:w="881" w:type="dxa"/>
            <w:vAlign w:val="bottom"/>
          </w:tcPr>
          <w:p w:rsidR="00D33FC0" w:rsidRPr="00AA1DC7" w:rsidRDefault="00D33FC0" w:rsidP="005B1D5E">
            <w:pPr>
              <w:jc w:val="center"/>
              <w:rPr>
                <w:b/>
                <w:sz w:val="20"/>
                <w:szCs w:val="20"/>
              </w:rPr>
            </w:pPr>
            <w:r w:rsidRPr="00AA1DC7">
              <w:rPr>
                <w:b/>
                <w:sz w:val="20"/>
                <w:szCs w:val="20"/>
              </w:rPr>
              <w:t>Total</w:t>
            </w:r>
            <w:r w:rsidR="009F463F">
              <w:rPr>
                <w:b/>
                <w:sz w:val="20"/>
                <w:szCs w:val="20"/>
              </w:rPr>
              <w:t xml:space="preserve"> Estimated County Budget Reductions 2015-2018</w:t>
            </w:r>
          </w:p>
        </w:tc>
      </w:tr>
      <w:tr w:rsidR="00FD2730" w:rsidRPr="00AA1DC7" w:rsidTr="00D33FC0">
        <w:tc>
          <w:tcPr>
            <w:tcW w:w="1750" w:type="dxa"/>
          </w:tcPr>
          <w:p w:rsidR="00D33FC0" w:rsidRPr="00AA1DC7" w:rsidRDefault="00D33FC0" w:rsidP="005B1D5E">
            <w:pPr>
              <w:rPr>
                <w:b/>
                <w:sz w:val="20"/>
                <w:szCs w:val="20"/>
              </w:rPr>
            </w:pPr>
            <w:r>
              <w:rPr>
                <w:b/>
                <w:sz w:val="20"/>
                <w:szCs w:val="20"/>
              </w:rPr>
              <w:t>Chatsworth</w:t>
            </w:r>
          </w:p>
        </w:tc>
        <w:tc>
          <w:tcPr>
            <w:tcW w:w="1422" w:type="dxa"/>
            <w:vAlign w:val="bottom"/>
          </w:tcPr>
          <w:p w:rsidR="00D33FC0" w:rsidRPr="00AA1DC7" w:rsidRDefault="00D33FC0" w:rsidP="00FD2730">
            <w:pPr>
              <w:jc w:val="right"/>
              <w:rPr>
                <w:b/>
                <w:sz w:val="20"/>
                <w:szCs w:val="20"/>
              </w:rPr>
            </w:pPr>
            <w:r>
              <w:rPr>
                <w:b/>
                <w:sz w:val="20"/>
                <w:szCs w:val="20"/>
              </w:rPr>
              <w:t>($1</w:t>
            </w:r>
            <w:r w:rsidR="00FD2730">
              <w:rPr>
                <w:b/>
                <w:sz w:val="20"/>
                <w:szCs w:val="20"/>
              </w:rPr>
              <w:t>37</w:t>
            </w:r>
            <w:r>
              <w:rPr>
                <w:b/>
                <w:sz w:val="20"/>
                <w:szCs w:val="20"/>
              </w:rPr>
              <w:t>,</w:t>
            </w:r>
            <w:r w:rsidR="00FD2730">
              <w:rPr>
                <w:b/>
                <w:sz w:val="20"/>
                <w:szCs w:val="20"/>
              </w:rPr>
              <w:t>989</w:t>
            </w:r>
            <w:r>
              <w:rPr>
                <w:b/>
                <w:sz w:val="20"/>
                <w:szCs w:val="20"/>
              </w:rPr>
              <w:t>)</w:t>
            </w:r>
          </w:p>
        </w:tc>
        <w:tc>
          <w:tcPr>
            <w:tcW w:w="1449" w:type="dxa"/>
            <w:vAlign w:val="bottom"/>
          </w:tcPr>
          <w:p w:rsidR="00D33FC0" w:rsidRPr="00AA1DC7" w:rsidRDefault="009F463F" w:rsidP="005B1D5E">
            <w:pPr>
              <w:jc w:val="right"/>
              <w:rPr>
                <w:b/>
                <w:sz w:val="20"/>
                <w:szCs w:val="20"/>
              </w:rPr>
            </w:pPr>
            <w:r>
              <w:rPr>
                <w:b/>
                <w:sz w:val="20"/>
                <w:szCs w:val="20"/>
              </w:rPr>
              <w:t>($17,897)</w:t>
            </w:r>
          </w:p>
        </w:tc>
        <w:tc>
          <w:tcPr>
            <w:tcW w:w="1275" w:type="dxa"/>
            <w:vAlign w:val="bottom"/>
          </w:tcPr>
          <w:p w:rsidR="00D33FC0" w:rsidRPr="00AA1DC7" w:rsidRDefault="009F463F" w:rsidP="005B1D5E">
            <w:pPr>
              <w:jc w:val="right"/>
              <w:rPr>
                <w:b/>
                <w:sz w:val="20"/>
                <w:szCs w:val="20"/>
              </w:rPr>
            </w:pPr>
            <w:r>
              <w:rPr>
                <w:b/>
                <w:sz w:val="20"/>
                <w:szCs w:val="20"/>
              </w:rPr>
              <w:t>($17,897)</w:t>
            </w:r>
          </w:p>
        </w:tc>
        <w:tc>
          <w:tcPr>
            <w:tcW w:w="1275" w:type="dxa"/>
            <w:vAlign w:val="bottom"/>
          </w:tcPr>
          <w:p w:rsidR="00D33FC0" w:rsidRPr="00AA1DC7" w:rsidRDefault="009F463F" w:rsidP="005B1D5E">
            <w:pPr>
              <w:jc w:val="right"/>
              <w:rPr>
                <w:b/>
                <w:sz w:val="20"/>
                <w:szCs w:val="20"/>
              </w:rPr>
            </w:pPr>
            <w:r>
              <w:rPr>
                <w:b/>
                <w:sz w:val="20"/>
                <w:szCs w:val="20"/>
              </w:rPr>
              <w:t>($17,897)</w:t>
            </w:r>
          </w:p>
        </w:tc>
        <w:tc>
          <w:tcPr>
            <w:tcW w:w="881" w:type="dxa"/>
            <w:vAlign w:val="bottom"/>
          </w:tcPr>
          <w:p w:rsidR="00D33FC0" w:rsidRPr="00AA1DC7" w:rsidRDefault="00F608B3" w:rsidP="00FD2730">
            <w:pPr>
              <w:jc w:val="right"/>
              <w:rPr>
                <w:b/>
                <w:sz w:val="20"/>
                <w:szCs w:val="20"/>
              </w:rPr>
            </w:pPr>
            <w:r>
              <w:rPr>
                <w:b/>
                <w:sz w:val="20"/>
                <w:szCs w:val="20"/>
              </w:rPr>
              <w:t>($</w:t>
            </w:r>
            <w:r w:rsidR="00FD2730">
              <w:rPr>
                <w:b/>
                <w:sz w:val="20"/>
                <w:szCs w:val="20"/>
              </w:rPr>
              <w:t>191</w:t>
            </w:r>
            <w:r>
              <w:rPr>
                <w:b/>
                <w:sz w:val="20"/>
                <w:szCs w:val="20"/>
              </w:rPr>
              <w:t>,</w:t>
            </w:r>
            <w:r w:rsidR="00FD2730">
              <w:rPr>
                <w:b/>
                <w:sz w:val="20"/>
                <w:szCs w:val="20"/>
              </w:rPr>
              <w:t>680</w:t>
            </w:r>
            <w:r w:rsidR="009F463F">
              <w:rPr>
                <w:b/>
                <w:sz w:val="20"/>
                <w:szCs w:val="20"/>
              </w:rPr>
              <w:t>)</w:t>
            </w:r>
          </w:p>
        </w:tc>
      </w:tr>
      <w:tr w:rsidR="00FD2730" w:rsidRPr="00AA1DC7" w:rsidTr="00D33FC0">
        <w:tc>
          <w:tcPr>
            <w:tcW w:w="1750" w:type="dxa"/>
          </w:tcPr>
          <w:p w:rsidR="00D33FC0" w:rsidRPr="00AA1DC7" w:rsidRDefault="00D33FC0" w:rsidP="005B1D5E">
            <w:pPr>
              <w:rPr>
                <w:b/>
                <w:sz w:val="20"/>
                <w:szCs w:val="20"/>
              </w:rPr>
            </w:pPr>
            <w:r>
              <w:rPr>
                <w:b/>
                <w:sz w:val="20"/>
                <w:szCs w:val="20"/>
              </w:rPr>
              <w:t>Georgian Bluffs</w:t>
            </w:r>
          </w:p>
        </w:tc>
        <w:tc>
          <w:tcPr>
            <w:tcW w:w="1422" w:type="dxa"/>
            <w:vAlign w:val="bottom"/>
          </w:tcPr>
          <w:p w:rsidR="00D33FC0" w:rsidRPr="00AA1DC7" w:rsidRDefault="00D33FC0" w:rsidP="00FD2730">
            <w:pPr>
              <w:jc w:val="right"/>
              <w:rPr>
                <w:b/>
                <w:sz w:val="20"/>
                <w:szCs w:val="20"/>
              </w:rPr>
            </w:pPr>
            <w:r>
              <w:rPr>
                <w:b/>
                <w:sz w:val="20"/>
                <w:szCs w:val="20"/>
              </w:rPr>
              <w:t>($</w:t>
            </w:r>
            <w:r w:rsidR="00FD2730">
              <w:rPr>
                <w:b/>
                <w:sz w:val="20"/>
                <w:szCs w:val="20"/>
              </w:rPr>
              <w:t>294</w:t>
            </w:r>
            <w:r>
              <w:rPr>
                <w:b/>
                <w:sz w:val="20"/>
                <w:szCs w:val="20"/>
              </w:rPr>
              <w:t>,</w:t>
            </w:r>
            <w:r w:rsidR="00FD2730">
              <w:rPr>
                <w:b/>
                <w:sz w:val="20"/>
                <w:szCs w:val="20"/>
              </w:rPr>
              <w:t>582</w:t>
            </w:r>
            <w:r>
              <w:rPr>
                <w:b/>
                <w:sz w:val="20"/>
                <w:szCs w:val="20"/>
              </w:rPr>
              <w:t>)</w:t>
            </w:r>
          </w:p>
        </w:tc>
        <w:tc>
          <w:tcPr>
            <w:tcW w:w="1449" w:type="dxa"/>
            <w:vAlign w:val="bottom"/>
          </w:tcPr>
          <w:p w:rsidR="00D33FC0" w:rsidRPr="00AA1DC7" w:rsidRDefault="009F463F" w:rsidP="005B1D5E">
            <w:pPr>
              <w:jc w:val="right"/>
              <w:rPr>
                <w:b/>
                <w:sz w:val="20"/>
                <w:szCs w:val="20"/>
              </w:rPr>
            </w:pPr>
            <w:r>
              <w:rPr>
                <w:b/>
                <w:sz w:val="20"/>
                <w:szCs w:val="20"/>
              </w:rPr>
              <w:t>($38,206)</w:t>
            </w:r>
          </w:p>
        </w:tc>
        <w:tc>
          <w:tcPr>
            <w:tcW w:w="1275" w:type="dxa"/>
            <w:vAlign w:val="bottom"/>
          </w:tcPr>
          <w:p w:rsidR="00D33FC0" w:rsidRPr="00AA1DC7" w:rsidRDefault="009F463F" w:rsidP="005B1D5E">
            <w:pPr>
              <w:jc w:val="right"/>
              <w:rPr>
                <w:b/>
                <w:sz w:val="20"/>
                <w:szCs w:val="20"/>
              </w:rPr>
            </w:pPr>
            <w:r>
              <w:rPr>
                <w:b/>
                <w:sz w:val="20"/>
                <w:szCs w:val="20"/>
              </w:rPr>
              <w:t>($38,206)</w:t>
            </w:r>
          </w:p>
        </w:tc>
        <w:tc>
          <w:tcPr>
            <w:tcW w:w="1275" w:type="dxa"/>
            <w:vAlign w:val="bottom"/>
          </w:tcPr>
          <w:p w:rsidR="00D33FC0" w:rsidRPr="00AA1DC7" w:rsidRDefault="009F463F" w:rsidP="005B1D5E">
            <w:pPr>
              <w:jc w:val="right"/>
              <w:rPr>
                <w:b/>
                <w:sz w:val="20"/>
                <w:szCs w:val="20"/>
              </w:rPr>
            </w:pPr>
            <w:r>
              <w:rPr>
                <w:b/>
                <w:sz w:val="20"/>
                <w:szCs w:val="20"/>
              </w:rPr>
              <w:t>($38,206)</w:t>
            </w:r>
          </w:p>
        </w:tc>
        <w:tc>
          <w:tcPr>
            <w:tcW w:w="881" w:type="dxa"/>
            <w:vAlign w:val="bottom"/>
          </w:tcPr>
          <w:p w:rsidR="00D33FC0" w:rsidRPr="00AA1DC7" w:rsidRDefault="009F463F" w:rsidP="00FD2730">
            <w:pPr>
              <w:jc w:val="right"/>
              <w:rPr>
                <w:b/>
                <w:sz w:val="20"/>
                <w:szCs w:val="20"/>
              </w:rPr>
            </w:pPr>
            <w:r>
              <w:rPr>
                <w:b/>
                <w:sz w:val="20"/>
                <w:szCs w:val="20"/>
              </w:rPr>
              <w:t>($4</w:t>
            </w:r>
            <w:r w:rsidR="00FD2730">
              <w:rPr>
                <w:b/>
                <w:sz w:val="20"/>
                <w:szCs w:val="20"/>
              </w:rPr>
              <w:t>09</w:t>
            </w:r>
            <w:r>
              <w:rPr>
                <w:b/>
                <w:sz w:val="20"/>
                <w:szCs w:val="20"/>
              </w:rPr>
              <w:t>,</w:t>
            </w:r>
            <w:r w:rsidR="00FD2730">
              <w:rPr>
                <w:b/>
                <w:sz w:val="20"/>
                <w:szCs w:val="20"/>
              </w:rPr>
              <w:t>200</w:t>
            </w:r>
            <w:r>
              <w:rPr>
                <w:b/>
                <w:sz w:val="20"/>
                <w:szCs w:val="20"/>
              </w:rPr>
              <w:t>)</w:t>
            </w:r>
          </w:p>
        </w:tc>
      </w:tr>
      <w:tr w:rsidR="00FD2730" w:rsidRPr="00AA1DC7" w:rsidTr="00D33FC0">
        <w:tc>
          <w:tcPr>
            <w:tcW w:w="1750" w:type="dxa"/>
          </w:tcPr>
          <w:p w:rsidR="00D33FC0" w:rsidRPr="00AA1DC7" w:rsidRDefault="00D33FC0" w:rsidP="005B1D5E">
            <w:pPr>
              <w:rPr>
                <w:b/>
                <w:sz w:val="20"/>
                <w:szCs w:val="20"/>
              </w:rPr>
            </w:pPr>
            <w:r>
              <w:rPr>
                <w:b/>
                <w:sz w:val="20"/>
                <w:szCs w:val="20"/>
              </w:rPr>
              <w:t>Grey Highlands</w:t>
            </w:r>
          </w:p>
        </w:tc>
        <w:tc>
          <w:tcPr>
            <w:tcW w:w="1422" w:type="dxa"/>
            <w:vAlign w:val="bottom"/>
          </w:tcPr>
          <w:p w:rsidR="00D33FC0" w:rsidRPr="00AA1DC7" w:rsidRDefault="009F463F" w:rsidP="00FD2730">
            <w:pPr>
              <w:jc w:val="right"/>
              <w:rPr>
                <w:b/>
                <w:sz w:val="20"/>
                <w:szCs w:val="20"/>
              </w:rPr>
            </w:pPr>
            <w:r>
              <w:rPr>
                <w:b/>
                <w:sz w:val="20"/>
                <w:szCs w:val="20"/>
              </w:rPr>
              <w:t>($3</w:t>
            </w:r>
            <w:r w:rsidR="00FD2730">
              <w:rPr>
                <w:b/>
                <w:sz w:val="20"/>
                <w:szCs w:val="20"/>
              </w:rPr>
              <w:t>05</w:t>
            </w:r>
            <w:r>
              <w:rPr>
                <w:b/>
                <w:sz w:val="20"/>
                <w:szCs w:val="20"/>
              </w:rPr>
              <w:t>,</w:t>
            </w:r>
            <w:r w:rsidR="00FD2730">
              <w:rPr>
                <w:b/>
                <w:sz w:val="20"/>
                <w:szCs w:val="20"/>
              </w:rPr>
              <w:t>033</w:t>
            </w:r>
            <w:r>
              <w:rPr>
                <w:b/>
                <w:sz w:val="20"/>
                <w:szCs w:val="20"/>
              </w:rPr>
              <w:t>)</w:t>
            </w:r>
          </w:p>
        </w:tc>
        <w:tc>
          <w:tcPr>
            <w:tcW w:w="1449" w:type="dxa"/>
            <w:vAlign w:val="bottom"/>
          </w:tcPr>
          <w:p w:rsidR="00D33FC0" w:rsidRPr="00AA1DC7" w:rsidRDefault="009F463F" w:rsidP="005B1D5E">
            <w:pPr>
              <w:jc w:val="right"/>
              <w:rPr>
                <w:b/>
                <w:sz w:val="20"/>
                <w:szCs w:val="20"/>
              </w:rPr>
            </w:pPr>
            <w:r>
              <w:rPr>
                <w:b/>
                <w:sz w:val="20"/>
                <w:szCs w:val="20"/>
              </w:rPr>
              <w:t>($39,562)</w:t>
            </w:r>
          </w:p>
        </w:tc>
        <w:tc>
          <w:tcPr>
            <w:tcW w:w="1275" w:type="dxa"/>
            <w:vAlign w:val="bottom"/>
          </w:tcPr>
          <w:p w:rsidR="00D33FC0" w:rsidRPr="00AA1DC7" w:rsidRDefault="009F463F" w:rsidP="005B1D5E">
            <w:pPr>
              <w:jc w:val="right"/>
              <w:rPr>
                <w:b/>
                <w:sz w:val="20"/>
                <w:szCs w:val="20"/>
              </w:rPr>
            </w:pPr>
            <w:r>
              <w:rPr>
                <w:b/>
                <w:sz w:val="20"/>
                <w:szCs w:val="20"/>
              </w:rPr>
              <w:t>($39,562)</w:t>
            </w:r>
          </w:p>
        </w:tc>
        <w:tc>
          <w:tcPr>
            <w:tcW w:w="1275" w:type="dxa"/>
            <w:vAlign w:val="bottom"/>
          </w:tcPr>
          <w:p w:rsidR="00D33FC0" w:rsidRPr="00AA1DC7" w:rsidRDefault="009F463F" w:rsidP="005B1D5E">
            <w:pPr>
              <w:jc w:val="right"/>
              <w:rPr>
                <w:b/>
                <w:sz w:val="20"/>
                <w:szCs w:val="20"/>
              </w:rPr>
            </w:pPr>
            <w:r>
              <w:rPr>
                <w:b/>
                <w:sz w:val="20"/>
                <w:szCs w:val="20"/>
              </w:rPr>
              <w:t>($39,562)</w:t>
            </w:r>
          </w:p>
        </w:tc>
        <w:tc>
          <w:tcPr>
            <w:tcW w:w="881" w:type="dxa"/>
            <w:vAlign w:val="bottom"/>
          </w:tcPr>
          <w:p w:rsidR="00D33FC0" w:rsidRPr="00AA1DC7" w:rsidRDefault="009F463F" w:rsidP="00FD2730">
            <w:pPr>
              <w:jc w:val="right"/>
              <w:rPr>
                <w:b/>
                <w:sz w:val="20"/>
                <w:szCs w:val="20"/>
              </w:rPr>
            </w:pPr>
            <w:r>
              <w:rPr>
                <w:b/>
                <w:sz w:val="20"/>
                <w:szCs w:val="20"/>
              </w:rPr>
              <w:t>($</w:t>
            </w:r>
            <w:r w:rsidR="00FD2730">
              <w:rPr>
                <w:b/>
                <w:sz w:val="20"/>
                <w:szCs w:val="20"/>
              </w:rPr>
              <w:t>423</w:t>
            </w:r>
            <w:r>
              <w:rPr>
                <w:b/>
                <w:sz w:val="20"/>
                <w:szCs w:val="20"/>
              </w:rPr>
              <w:t>,</w:t>
            </w:r>
            <w:r w:rsidR="00FD2730">
              <w:rPr>
                <w:b/>
                <w:sz w:val="20"/>
                <w:szCs w:val="20"/>
              </w:rPr>
              <w:t>719</w:t>
            </w:r>
            <w:r>
              <w:rPr>
                <w:b/>
                <w:sz w:val="20"/>
                <w:szCs w:val="20"/>
              </w:rPr>
              <w:t>)</w:t>
            </w:r>
          </w:p>
        </w:tc>
      </w:tr>
      <w:tr w:rsidR="00FD2730" w:rsidRPr="00AA1DC7" w:rsidTr="00D33FC0">
        <w:tc>
          <w:tcPr>
            <w:tcW w:w="1750" w:type="dxa"/>
          </w:tcPr>
          <w:p w:rsidR="00D33FC0" w:rsidRPr="00AA1DC7" w:rsidRDefault="00D33FC0" w:rsidP="005B1D5E">
            <w:pPr>
              <w:rPr>
                <w:b/>
                <w:sz w:val="20"/>
                <w:szCs w:val="20"/>
              </w:rPr>
            </w:pPr>
            <w:r>
              <w:rPr>
                <w:b/>
                <w:sz w:val="20"/>
                <w:szCs w:val="20"/>
              </w:rPr>
              <w:t>Hanover</w:t>
            </w:r>
          </w:p>
        </w:tc>
        <w:tc>
          <w:tcPr>
            <w:tcW w:w="1422" w:type="dxa"/>
            <w:vAlign w:val="bottom"/>
          </w:tcPr>
          <w:p w:rsidR="00D33FC0" w:rsidRPr="00AA1DC7" w:rsidRDefault="009F463F" w:rsidP="00FD2730">
            <w:pPr>
              <w:jc w:val="right"/>
              <w:rPr>
                <w:b/>
                <w:sz w:val="20"/>
                <w:szCs w:val="20"/>
              </w:rPr>
            </w:pPr>
            <w:r>
              <w:rPr>
                <w:b/>
                <w:sz w:val="20"/>
                <w:szCs w:val="20"/>
              </w:rPr>
              <w:t>($1</w:t>
            </w:r>
            <w:r w:rsidR="00FD2730">
              <w:rPr>
                <w:b/>
                <w:sz w:val="20"/>
                <w:szCs w:val="20"/>
              </w:rPr>
              <w:t>38</w:t>
            </w:r>
            <w:r>
              <w:rPr>
                <w:b/>
                <w:sz w:val="20"/>
                <w:szCs w:val="20"/>
              </w:rPr>
              <w:t>,</w:t>
            </w:r>
            <w:r w:rsidR="00FD2730">
              <w:rPr>
                <w:b/>
                <w:sz w:val="20"/>
                <w:szCs w:val="20"/>
              </w:rPr>
              <w:t>857</w:t>
            </w:r>
            <w:r>
              <w:rPr>
                <w:b/>
                <w:sz w:val="20"/>
                <w:szCs w:val="20"/>
              </w:rPr>
              <w:t>)</w:t>
            </w:r>
          </w:p>
        </w:tc>
        <w:tc>
          <w:tcPr>
            <w:tcW w:w="1449" w:type="dxa"/>
            <w:vAlign w:val="bottom"/>
          </w:tcPr>
          <w:p w:rsidR="00D33FC0" w:rsidRPr="00AA1DC7" w:rsidRDefault="009F463F" w:rsidP="005B1D5E">
            <w:pPr>
              <w:jc w:val="right"/>
              <w:rPr>
                <w:b/>
                <w:sz w:val="20"/>
                <w:szCs w:val="20"/>
              </w:rPr>
            </w:pPr>
            <w:r>
              <w:rPr>
                <w:b/>
                <w:sz w:val="20"/>
                <w:szCs w:val="20"/>
              </w:rPr>
              <w:t>($18,009)</w:t>
            </w:r>
          </w:p>
        </w:tc>
        <w:tc>
          <w:tcPr>
            <w:tcW w:w="1275" w:type="dxa"/>
            <w:vAlign w:val="bottom"/>
          </w:tcPr>
          <w:p w:rsidR="00D33FC0" w:rsidRPr="00AA1DC7" w:rsidRDefault="009F463F" w:rsidP="005B1D5E">
            <w:pPr>
              <w:jc w:val="right"/>
              <w:rPr>
                <w:b/>
                <w:sz w:val="20"/>
                <w:szCs w:val="20"/>
              </w:rPr>
            </w:pPr>
            <w:r>
              <w:rPr>
                <w:b/>
                <w:sz w:val="20"/>
                <w:szCs w:val="20"/>
              </w:rPr>
              <w:t>($18,009)</w:t>
            </w:r>
          </w:p>
        </w:tc>
        <w:tc>
          <w:tcPr>
            <w:tcW w:w="1275" w:type="dxa"/>
            <w:vAlign w:val="bottom"/>
          </w:tcPr>
          <w:p w:rsidR="00D33FC0" w:rsidRPr="00AA1DC7" w:rsidRDefault="009F463F" w:rsidP="005B1D5E">
            <w:pPr>
              <w:jc w:val="right"/>
              <w:rPr>
                <w:b/>
                <w:sz w:val="20"/>
                <w:szCs w:val="20"/>
              </w:rPr>
            </w:pPr>
            <w:r>
              <w:rPr>
                <w:b/>
                <w:sz w:val="20"/>
                <w:szCs w:val="20"/>
              </w:rPr>
              <w:t>($18,009)</w:t>
            </w:r>
          </w:p>
        </w:tc>
        <w:tc>
          <w:tcPr>
            <w:tcW w:w="881" w:type="dxa"/>
            <w:vAlign w:val="bottom"/>
          </w:tcPr>
          <w:p w:rsidR="00D33FC0" w:rsidRPr="00AA1DC7" w:rsidRDefault="009F463F" w:rsidP="00FD2730">
            <w:pPr>
              <w:jc w:val="right"/>
              <w:rPr>
                <w:b/>
                <w:sz w:val="20"/>
                <w:szCs w:val="20"/>
              </w:rPr>
            </w:pPr>
            <w:r>
              <w:rPr>
                <w:b/>
                <w:sz w:val="20"/>
                <w:szCs w:val="20"/>
              </w:rPr>
              <w:t>($</w:t>
            </w:r>
            <w:r w:rsidR="00FD2730">
              <w:rPr>
                <w:b/>
                <w:sz w:val="20"/>
                <w:szCs w:val="20"/>
              </w:rPr>
              <w:t>192</w:t>
            </w:r>
            <w:r>
              <w:rPr>
                <w:b/>
                <w:sz w:val="20"/>
                <w:szCs w:val="20"/>
              </w:rPr>
              <w:t>,</w:t>
            </w:r>
            <w:r w:rsidR="00FD2730">
              <w:rPr>
                <w:b/>
                <w:sz w:val="20"/>
                <w:szCs w:val="20"/>
              </w:rPr>
              <w:t>884</w:t>
            </w:r>
            <w:r>
              <w:rPr>
                <w:b/>
                <w:sz w:val="20"/>
                <w:szCs w:val="20"/>
              </w:rPr>
              <w:t>)</w:t>
            </w:r>
          </w:p>
        </w:tc>
      </w:tr>
      <w:tr w:rsidR="00FD2730" w:rsidRPr="00AA1DC7" w:rsidTr="00D33FC0">
        <w:tc>
          <w:tcPr>
            <w:tcW w:w="1750" w:type="dxa"/>
          </w:tcPr>
          <w:p w:rsidR="00D33FC0" w:rsidRPr="00AA1DC7" w:rsidRDefault="00D33FC0" w:rsidP="005B1D5E">
            <w:pPr>
              <w:rPr>
                <w:b/>
                <w:sz w:val="20"/>
                <w:szCs w:val="20"/>
              </w:rPr>
            </w:pPr>
            <w:r>
              <w:rPr>
                <w:b/>
                <w:sz w:val="20"/>
                <w:szCs w:val="20"/>
              </w:rPr>
              <w:t>Meaford</w:t>
            </w:r>
          </w:p>
        </w:tc>
        <w:tc>
          <w:tcPr>
            <w:tcW w:w="1422" w:type="dxa"/>
            <w:vAlign w:val="bottom"/>
          </w:tcPr>
          <w:p w:rsidR="00D33FC0" w:rsidRPr="00AA1DC7" w:rsidRDefault="009F463F" w:rsidP="00FD2730">
            <w:pPr>
              <w:jc w:val="right"/>
              <w:rPr>
                <w:b/>
                <w:sz w:val="20"/>
                <w:szCs w:val="20"/>
              </w:rPr>
            </w:pPr>
            <w:r>
              <w:rPr>
                <w:b/>
                <w:sz w:val="20"/>
                <w:szCs w:val="20"/>
              </w:rPr>
              <w:t>($3</w:t>
            </w:r>
            <w:r w:rsidR="00FD2730">
              <w:rPr>
                <w:b/>
                <w:sz w:val="20"/>
                <w:szCs w:val="20"/>
              </w:rPr>
              <w:t>10</w:t>
            </w:r>
            <w:r>
              <w:rPr>
                <w:b/>
                <w:sz w:val="20"/>
                <w:szCs w:val="20"/>
              </w:rPr>
              <w:t>,</w:t>
            </w:r>
            <w:r w:rsidR="00FD2730">
              <w:rPr>
                <w:b/>
                <w:sz w:val="20"/>
                <w:szCs w:val="20"/>
              </w:rPr>
              <w:t>468</w:t>
            </w:r>
            <w:r>
              <w:rPr>
                <w:b/>
                <w:sz w:val="20"/>
                <w:szCs w:val="20"/>
              </w:rPr>
              <w:t>)</w:t>
            </w:r>
          </w:p>
        </w:tc>
        <w:tc>
          <w:tcPr>
            <w:tcW w:w="1449" w:type="dxa"/>
            <w:vAlign w:val="bottom"/>
          </w:tcPr>
          <w:p w:rsidR="00D33FC0" w:rsidRPr="00AA1DC7" w:rsidRDefault="009F463F" w:rsidP="005B1D5E">
            <w:pPr>
              <w:jc w:val="right"/>
              <w:rPr>
                <w:b/>
                <w:sz w:val="20"/>
                <w:szCs w:val="20"/>
              </w:rPr>
            </w:pPr>
            <w:r>
              <w:rPr>
                <w:b/>
                <w:sz w:val="20"/>
                <w:szCs w:val="20"/>
              </w:rPr>
              <w:t>($40,266)</w:t>
            </w:r>
          </w:p>
        </w:tc>
        <w:tc>
          <w:tcPr>
            <w:tcW w:w="1275" w:type="dxa"/>
            <w:vAlign w:val="bottom"/>
          </w:tcPr>
          <w:p w:rsidR="00D33FC0" w:rsidRPr="00AA1DC7" w:rsidRDefault="009F463F" w:rsidP="005B1D5E">
            <w:pPr>
              <w:jc w:val="right"/>
              <w:rPr>
                <w:b/>
                <w:sz w:val="20"/>
                <w:szCs w:val="20"/>
              </w:rPr>
            </w:pPr>
            <w:r>
              <w:rPr>
                <w:b/>
                <w:sz w:val="20"/>
                <w:szCs w:val="20"/>
              </w:rPr>
              <w:t>$40,266)</w:t>
            </w:r>
          </w:p>
        </w:tc>
        <w:tc>
          <w:tcPr>
            <w:tcW w:w="1275" w:type="dxa"/>
            <w:vAlign w:val="bottom"/>
          </w:tcPr>
          <w:p w:rsidR="00D33FC0" w:rsidRPr="00AA1DC7" w:rsidRDefault="009F463F" w:rsidP="005B1D5E">
            <w:pPr>
              <w:jc w:val="right"/>
              <w:rPr>
                <w:b/>
                <w:sz w:val="20"/>
                <w:szCs w:val="20"/>
              </w:rPr>
            </w:pPr>
            <w:r>
              <w:rPr>
                <w:b/>
                <w:sz w:val="20"/>
                <w:szCs w:val="20"/>
              </w:rPr>
              <w:t>$40,266)</w:t>
            </w:r>
          </w:p>
        </w:tc>
        <w:tc>
          <w:tcPr>
            <w:tcW w:w="881" w:type="dxa"/>
            <w:vAlign w:val="bottom"/>
          </w:tcPr>
          <w:p w:rsidR="00D33FC0" w:rsidRPr="00AA1DC7" w:rsidRDefault="009F463F" w:rsidP="00FD2730">
            <w:pPr>
              <w:jc w:val="right"/>
              <w:rPr>
                <w:b/>
                <w:sz w:val="20"/>
                <w:szCs w:val="20"/>
              </w:rPr>
            </w:pPr>
            <w:r>
              <w:rPr>
                <w:b/>
                <w:sz w:val="20"/>
                <w:szCs w:val="20"/>
              </w:rPr>
              <w:t>($</w:t>
            </w:r>
            <w:r w:rsidR="00FD2730">
              <w:rPr>
                <w:b/>
                <w:sz w:val="20"/>
                <w:szCs w:val="20"/>
              </w:rPr>
              <w:t>431</w:t>
            </w:r>
            <w:r>
              <w:rPr>
                <w:b/>
                <w:sz w:val="20"/>
                <w:szCs w:val="20"/>
              </w:rPr>
              <w:t>,</w:t>
            </w:r>
            <w:r w:rsidR="00FD2730">
              <w:rPr>
                <w:b/>
                <w:sz w:val="20"/>
                <w:szCs w:val="20"/>
              </w:rPr>
              <w:t>266</w:t>
            </w:r>
            <w:r>
              <w:rPr>
                <w:b/>
                <w:sz w:val="20"/>
                <w:szCs w:val="20"/>
              </w:rPr>
              <w:t>)</w:t>
            </w:r>
          </w:p>
        </w:tc>
      </w:tr>
      <w:tr w:rsidR="00FD2730" w:rsidRPr="00AA1DC7" w:rsidTr="00D33FC0">
        <w:tc>
          <w:tcPr>
            <w:tcW w:w="1750" w:type="dxa"/>
          </w:tcPr>
          <w:p w:rsidR="00D33FC0" w:rsidRPr="00AA1DC7" w:rsidRDefault="00D33FC0" w:rsidP="005B1D5E">
            <w:pPr>
              <w:rPr>
                <w:b/>
                <w:sz w:val="20"/>
                <w:szCs w:val="20"/>
              </w:rPr>
            </w:pPr>
            <w:r>
              <w:rPr>
                <w:b/>
                <w:sz w:val="20"/>
                <w:szCs w:val="20"/>
              </w:rPr>
              <w:t>Owen Sound</w:t>
            </w:r>
          </w:p>
        </w:tc>
        <w:tc>
          <w:tcPr>
            <w:tcW w:w="1422" w:type="dxa"/>
            <w:vAlign w:val="bottom"/>
          </w:tcPr>
          <w:p w:rsidR="00D33FC0" w:rsidRPr="00AA1DC7" w:rsidRDefault="009F463F" w:rsidP="00FD2730">
            <w:pPr>
              <w:jc w:val="right"/>
              <w:rPr>
                <w:b/>
                <w:sz w:val="20"/>
                <w:szCs w:val="20"/>
              </w:rPr>
            </w:pPr>
            <w:r>
              <w:rPr>
                <w:b/>
                <w:sz w:val="20"/>
                <w:szCs w:val="20"/>
              </w:rPr>
              <w:t>($4</w:t>
            </w:r>
            <w:r w:rsidR="00FD2730">
              <w:rPr>
                <w:b/>
                <w:sz w:val="20"/>
                <w:szCs w:val="20"/>
              </w:rPr>
              <w:t>08</w:t>
            </w:r>
            <w:r>
              <w:rPr>
                <w:b/>
                <w:sz w:val="20"/>
                <w:szCs w:val="20"/>
              </w:rPr>
              <w:t>,</w:t>
            </w:r>
            <w:r w:rsidR="00FD2730">
              <w:rPr>
                <w:b/>
                <w:sz w:val="20"/>
                <w:szCs w:val="20"/>
              </w:rPr>
              <w:t>771</w:t>
            </w:r>
            <w:r>
              <w:rPr>
                <w:b/>
                <w:sz w:val="20"/>
                <w:szCs w:val="20"/>
              </w:rPr>
              <w:t>)</w:t>
            </w:r>
          </w:p>
        </w:tc>
        <w:tc>
          <w:tcPr>
            <w:tcW w:w="1449" w:type="dxa"/>
            <w:vAlign w:val="bottom"/>
          </w:tcPr>
          <w:p w:rsidR="00D33FC0" w:rsidRPr="00AA1DC7" w:rsidRDefault="009F463F" w:rsidP="005B1D5E">
            <w:pPr>
              <w:jc w:val="right"/>
              <w:rPr>
                <w:b/>
                <w:sz w:val="20"/>
                <w:szCs w:val="20"/>
              </w:rPr>
            </w:pPr>
            <w:r>
              <w:rPr>
                <w:b/>
                <w:sz w:val="20"/>
                <w:szCs w:val="20"/>
              </w:rPr>
              <w:t>($53,016)</w:t>
            </w:r>
          </w:p>
        </w:tc>
        <w:tc>
          <w:tcPr>
            <w:tcW w:w="1275" w:type="dxa"/>
            <w:vAlign w:val="bottom"/>
          </w:tcPr>
          <w:p w:rsidR="00D33FC0" w:rsidRPr="00AA1DC7" w:rsidRDefault="009F463F" w:rsidP="005B1D5E">
            <w:pPr>
              <w:jc w:val="right"/>
              <w:rPr>
                <w:b/>
                <w:sz w:val="20"/>
                <w:szCs w:val="20"/>
              </w:rPr>
            </w:pPr>
            <w:r>
              <w:rPr>
                <w:b/>
                <w:sz w:val="20"/>
                <w:szCs w:val="20"/>
              </w:rPr>
              <w:t>($53,016)</w:t>
            </w:r>
          </w:p>
        </w:tc>
        <w:tc>
          <w:tcPr>
            <w:tcW w:w="1275" w:type="dxa"/>
            <w:vAlign w:val="bottom"/>
          </w:tcPr>
          <w:p w:rsidR="00D33FC0" w:rsidRPr="00AA1DC7" w:rsidRDefault="009F463F" w:rsidP="005B1D5E">
            <w:pPr>
              <w:jc w:val="right"/>
              <w:rPr>
                <w:b/>
                <w:sz w:val="20"/>
                <w:szCs w:val="20"/>
              </w:rPr>
            </w:pPr>
            <w:r>
              <w:rPr>
                <w:b/>
                <w:sz w:val="20"/>
                <w:szCs w:val="20"/>
              </w:rPr>
              <w:t>($53,016)</w:t>
            </w:r>
          </w:p>
        </w:tc>
        <w:tc>
          <w:tcPr>
            <w:tcW w:w="881" w:type="dxa"/>
            <w:vAlign w:val="bottom"/>
          </w:tcPr>
          <w:p w:rsidR="00D33FC0" w:rsidRPr="00AA1DC7" w:rsidRDefault="009F463F" w:rsidP="00FD2730">
            <w:pPr>
              <w:jc w:val="right"/>
              <w:rPr>
                <w:b/>
                <w:sz w:val="20"/>
                <w:szCs w:val="20"/>
              </w:rPr>
            </w:pPr>
            <w:r>
              <w:rPr>
                <w:b/>
                <w:sz w:val="20"/>
                <w:szCs w:val="20"/>
              </w:rPr>
              <w:t>($</w:t>
            </w:r>
            <w:r w:rsidR="00FD2730">
              <w:rPr>
                <w:b/>
                <w:sz w:val="20"/>
                <w:szCs w:val="20"/>
              </w:rPr>
              <w:t>567</w:t>
            </w:r>
            <w:r>
              <w:rPr>
                <w:b/>
                <w:sz w:val="20"/>
                <w:szCs w:val="20"/>
              </w:rPr>
              <w:t>,</w:t>
            </w:r>
            <w:r w:rsidR="00FD2730">
              <w:rPr>
                <w:b/>
                <w:sz w:val="20"/>
                <w:szCs w:val="20"/>
              </w:rPr>
              <w:t>819</w:t>
            </w:r>
            <w:r>
              <w:rPr>
                <w:b/>
                <w:sz w:val="20"/>
                <w:szCs w:val="20"/>
              </w:rPr>
              <w:t>)</w:t>
            </w:r>
          </w:p>
        </w:tc>
      </w:tr>
      <w:tr w:rsidR="00FD2730" w:rsidRPr="00AA1DC7" w:rsidTr="00D33FC0">
        <w:tc>
          <w:tcPr>
            <w:tcW w:w="1750" w:type="dxa"/>
          </w:tcPr>
          <w:p w:rsidR="00D33FC0" w:rsidRPr="00AA1DC7" w:rsidRDefault="00D33FC0" w:rsidP="005B1D5E">
            <w:pPr>
              <w:rPr>
                <w:b/>
                <w:sz w:val="20"/>
                <w:szCs w:val="20"/>
              </w:rPr>
            </w:pPr>
            <w:r>
              <w:rPr>
                <w:b/>
                <w:sz w:val="20"/>
                <w:szCs w:val="20"/>
              </w:rPr>
              <w:t>Southgate</w:t>
            </w:r>
          </w:p>
        </w:tc>
        <w:tc>
          <w:tcPr>
            <w:tcW w:w="1422" w:type="dxa"/>
            <w:vAlign w:val="bottom"/>
          </w:tcPr>
          <w:p w:rsidR="00D33FC0" w:rsidRPr="00AA1DC7" w:rsidRDefault="009F463F" w:rsidP="00FD2730">
            <w:pPr>
              <w:jc w:val="right"/>
              <w:rPr>
                <w:b/>
                <w:sz w:val="20"/>
                <w:szCs w:val="20"/>
              </w:rPr>
            </w:pPr>
            <w:r>
              <w:rPr>
                <w:b/>
                <w:sz w:val="20"/>
                <w:szCs w:val="20"/>
              </w:rPr>
              <w:t>($1</w:t>
            </w:r>
            <w:r w:rsidR="00FD2730">
              <w:rPr>
                <w:b/>
                <w:sz w:val="20"/>
                <w:szCs w:val="20"/>
              </w:rPr>
              <w:t>33</w:t>
            </w:r>
            <w:r>
              <w:rPr>
                <w:b/>
                <w:sz w:val="20"/>
                <w:szCs w:val="20"/>
              </w:rPr>
              <w:t>,</w:t>
            </w:r>
            <w:r w:rsidR="00FD2730">
              <w:rPr>
                <w:b/>
                <w:sz w:val="20"/>
                <w:szCs w:val="20"/>
              </w:rPr>
              <w:t>297</w:t>
            </w:r>
            <w:r>
              <w:rPr>
                <w:b/>
                <w:sz w:val="20"/>
                <w:szCs w:val="20"/>
              </w:rPr>
              <w:t>)</w:t>
            </w:r>
          </w:p>
        </w:tc>
        <w:tc>
          <w:tcPr>
            <w:tcW w:w="1449" w:type="dxa"/>
            <w:vAlign w:val="bottom"/>
          </w:tcPr>
          <w:p w:rsidR="00D33FC0" w:rsidRPr="00AA1DC7" w:rsidRDefault="009F463F" w:rsidP="005B1D5E">
            <w:pPr>
              <w:jc w:val="right"/>
              <w:rPr>
                <w:b/>
                <w:sz w:val="20"/>
                <w:szCs w:val="20"/>
              </w:rPr>
            </w:pPr>
            <w:r>
              <w:rPr>
                <w:b/>
                <w:sz w:val="20"/>
                <w:szCs w:val="20"/>
              </w:rPr>
              <w:t>($17,288)</w:t>
            </w:r>
          </w:p>
        </w:tc>
        <w:tc>
          <w:tcPr>
            <w:tcW w:w="1275" w:type="dxa"/>
            <w:vAlign w:val="bottom"/>
          </w:tcPr>
          <w:p w:rsidR="00D33FC0" w:rsidRPr="00AA1DC7" w:rsidRDefault="009F463F" w:rsidP="005B1D5E">
            <w:pPr>
              <w:jc w:val="right"/>
              <w:rPr>
                <w:b/>
                <w:sz w:val="20"/>
                <w:szCs w:val="20"/>
              </w:rPr>
            </w:pPr>
            <w:r>
              <w:rPr>
                <w:b/>
                <w:sz w:val="20"/>
                <w:szCs w:val="20"/>
              </w:rPr>
              <w:t>($17,288)</w:t>
            </w:r>
          </w:p>
        </w:tc>
        <w:tc>
          <w:tcPr>
            <w:tcW w:w="1275" w:type="dxa"/>
            <w:vAlign w:val="bottom"/>
          </w:tcPr>
          <w:p w:rsidR="00D33FC0" w:rsidRPr="00AA1DC7" w:rsidRDefault="009F463F" w:rsidP="005B1D5E">
            <w:pPr>
              <w:jc w:val="right"/>
              <w:rPr>
                <w:b/>
                <w:sz w:val="20"/>
                <w:szCs w:val="20"/>
              </w:rPr>
            </w:pPr>
            <w:r>
              <w:rPr>
                <w:b/>
                <w:sz w:val="20"/>
                <w:szCs w:val="20"/>
              </w:rPr>
              <w:t>($17,288)</w:t>
            </w:r>
          </w:p>
        </w:tc>
        <w:tc>
          <w:tcPr>
            <w:tcW w:w="881" w:type="dxa"/>
            <w:vAlign w:val="bottom"/>
          </w:tcPr>
          <w:p w:rsidR="00D33FC0" w:rsidRPr="00AA1DC7" w:rsidRDefault="009F463F" w:rsidP="00FD2730">
            <w:pPr>
              <w:jc w:val="right"/>
              <w:rPr>
                <w:b/>
                <w:sz w:val="20"/>
                <w:szCs w:val="20"/>
              </w:rPr>
            </w:pPr>
            <w:r>
              <w:rPr>
                <w:b/>
                <w:sz w:val="20"/>
                <w:szCs w:val="20"/>
              </w:rPr>
              <w:t>($</w:t>
            </w:r>
            <w:r w:rsidR="00FD2730">
              <w:rPr>
                <w:b/>
                <w:sz w:val="20"/>
                <w:szCs w:val="20"/>
              </w:rPr>
              <w:t>185</w:t>
            </w:r>
            <w:r>
              <w:rPr>
                <w:b/>
                <w:sz w:val="20"/>
                <w:szCs w:val="20"/>
              </w:rPr>
              <w:t>,</w:t>
            </w:r>
            <w:r w:rsidR="00FD2730">
              <w:rPr>
                <w:b/>
                <w:sz w:val="20"/>
                <w:szCs w:val="20"/>
              </w:rPr>
              <w:t>161</w:t>
            </w:r>
            <w:r>
              <w:rPr>
                <w:b/>
                <w:sz w:val="20"/>
                <w:szCs w:val="20"/>
              </w:rPr>
              <w:t>)</w:t>
            </w:r>
          </w:p>
        </w:tc>
      </w:tr>
      <w:tr w:rsidR="00FD2730" w:rsidRPr="00AA1DC7" w:rsidTr="00D33FC0">
        <w:tc>
          <w:tcPr>
            <w:tcW w:w="1750" w:type="dxa"/>
          </w:tcPr>
          <w:p w:rsidR="00D33FC0" w:rsidRPr="00AA1DC7" w:rsidRDefault="00D33FC0" w:rsidP="005B1D5E">
            <w:pPr>
              <w:rPr>
                <w:b/>
                <w:sz w:val="20"/>
                <w:szCs w:val="20"/>
              </w:rPr>
            </w:pPr>
            <w:r>
              <w:rPr>
                <w:b/>
                <w:sz w:val="20"/>
                <w:szCs w:val="20"/>
              </w:rPr>
              <w:t>Blue Mountains</w:t>
            </w:r>
          </w:p>
        </w:tc>
        <w:tc>
          <w:tcPr>
            <w:tcW w:w="1422" w:type="dxa"/>
            <w:vAlign w:val="bottom"/>
          </w:tcPr>
          <w:p w:rsidR="00D33FC0" w:rsidRPr="00AA1DC7" w:rsidRDefault="009F463F" w:rsidP="00FD2730">
            <w:pPr>
              <w:jc w:val="right"/>
              <w:rPr>
                <w:b/>
                <w:sz w:val="20"/>
                <w:szCs w:val="20"/>
              </w:rPr>
            </w:pPr>
            <w:r>
              <w:rPr>
                <w:b/>
                <w:sz w:val="20"/>
                <w:szCs w:val="20"/>
              </w:rPr>
              <w:t>($</w:t>
            </w:r>
            <w:r w:rsidR="00FD2730">
              <w:rPr>
                <w:b/>
                <w:sz w:val="20"/>
                <w:szCs w:val="20"/>
              </w:rPr>
              <w:t>688</w:t>
            </w:r>
            <w:r>
              <w:rPr>
                <w:b/>
                <w:sz w:val="20"/>
                <w:szCs w:val="20"/>
              </w:rPr>
              <w:t>,</w:t>
            </w:r>
            <w:r w:rsidR="00FD2730">
              <w:rPr>
                <w:b/>
                <w:sz w:val="20"/>
                <w:szCs w:val="20"/>
              </w:rPr>
              <w:t>321</w:t>
            </w:r>
            <w:r>
              <w:rPr>
                <w:b/>
                <w:sz w:val="20"/>
                <w:szCs w:val="20"/>
              </w:rPr>
              <w:t>)</w:t>
            </w:r>
          </w:p>
        </w:tc>
        <w:tc>
          <w:tcPr>
            <w:tcW w:w="1449" w:type="dxa"/>
            <w:vAlign w:val="bottom"/>
          </w:tcPr>
          <w:p w:rsidR="00D33FC0" w:rsidRPr="00AA1DC7" w:rsidRDefault="009F463F" w:rsidP="005B1D5E">
            <w:pPr>
              <w:jc w:val="right"/>
              <w:rPr>
                <w:b/>
                <w:sz w:val="20"/>
                <w:szCs w:val="20"/>
              </w:rPr>
            </w:pPr>
            <w:r>
              <w:rPr>
                <w:b/>
                <w:sz w:val="20"/>
                <w:szCs w:val="20"/>
              </w:rPr>
              <w:t>($89,272)</w:t>
            </w:r>
          </w:p>
        </w:tc>
        <w:tc>
          <w:tcPr>
            <w:tcW w:w="1275" w:type="dxa"/>
            <w:vAlign w:val="bottom"/>
          </w:tcPr>
          <w:p w:rsidR="00D33FC0" w:rsidRPr="00AA1DC7" w:rsidRDefault="009F463F" w:rsidP="005B1D5E">
            <w:pPr>
              <w:jc w:val="right"/>
              <w:rPr>
                <w:b/>
                <w:sz w:val="20"/>
                <w:szCs w:val="20"/>
              </w:rPr>
            </w:pPr>
            <w:r>
              <w:rPr>
                <w:b/>
                <w:sz w:val="20"/>
                <w:szCs w:val="20"/>
              </w:rPr>
              <w:t>($89,272)</w:t>
            </w:r>
          </w:p>
        </w:tc>
        <w:tc>
          <w:tcPr>
            <w:tcW w:w="1275" w:type="dxa"/>
            <w:vAlign w:val="bottom"/>
          </w:tcPr>
          <w:p w:rsidR="00D33FC0" w:rsidRPr="00AA1DC7" w:rsidRDefault="009F463F" w:rsidP="005B1D5E">
            <w:pPr>
              <w:jc w:val="right"/>
              <w:rPr>
                <w:b/>
                <w:sz w:val="20"/>
                <w:szCs w:val="20"/>
              </w:rPr>
            </w:pPr>
            <w:r>
              <w:rPr>
                <w:b/>
                <w:sz w:val="20"/>
                <w:szCs w:val="20"/>
              </w:rPr>
              <w:t>($89,272)</w:t>
            </w:r>
          </w:p>
        </w:tc>
        <w:tc>
          <w:tcPr>
            <w:tcW w:w="881" w:type="dxa"/>
            <w:vAlign w:val="bottom"/>
          </w:tcPr>
          <w:p w:rsidR="00D33FC0" w:rsidRPr="00AA1DC7" w:rsidRDefault="009F463F" w:rsidP="00FD2730">
            <w:pPr>
              <w:jc w:val="right"/>
              <w:rPr>
                <w:b/>
                <w:sz w:val="20"/>
                <w:szCs w:val="20"/>
              </w:rPr>
            </w:pPr>
            <w:r>
              <w:rPr>
                <w:b/>
                <w:sz w:val="20"/>
                <w:szCs w:val="20"/>
              </w:rPr>
              <w:t>($</w:t>
            </w:r>
            <w:r w:rsidR="00FD2730">
              <w:rPr>
                <w:b/>
                <w:sz w:val="20"/>
                <w:szCs w:val="20"/>
              </w:rPr>
              <w:t>956,137</w:t>
            </w:r>
            <w:r>
              <w:rPr>
                <w:b/>
                <w:sz w:val="20"/>
                <w:szCs w:val="20"/>
              </w:rPr>
              <w:t>)</w:t>
            </w:r>
          </w:p>
        </w:tc>
      </w:tr>
      <w:tr w:rsidR="00FD2730" w:rsidRPr="00AA1DC7" w:rsidTr="00D33FC0">
        <w:tc>
          <w:tcPr>
            <w:tcW w:w="1750" w:type="dxa"/>
          </w:tcPr>
          <w:p w:rsidR="00D33FC0" w:rsidRPr="00AA1DC7" w:rsidRDefault="00D33FC0" w:rsidP="005B1D5E">
            <w:pPr>
              <w:rPr>
                <w:b/>
                <w:sz w:val="20"/>
                <w:szCs w:val="20"/>
              </w:rPr>
            </w:pPr>
            <w:r>
              <w:rPr>
                <w:b/>
                <w:sz w:val="20"/>
                <w:szCs w:val="20"/>
              </w:rPr>
              <w:t>West Grey</w:t>
            </w:r>
          </w:p>
        </w:tc>
        <w:tc>
          <w:tcPr>
            <w:tcW w:w="1422" w:type="dxa"/>
            <w:vAlign w:val="bottom"/>
          </w:tcPr>
          <w:p w:rsidR="00D33FC0" w:rsidRPr="00AA1DC7" w:rsidRDefault="009F463F" w:rsidP="00FD2730">
            <w:pPr>
              <w:jc w:val="right"/>
              <w:rPr>
                <w:b/>
                <w:sz w:val="20"/>
                <w:szCs w:val="20"/>
              </w:rPr>
            </w:pPr>
            <w:r>
              <w:rPr>
                <w:b/>
                <w:sz w:val="20"/>
                <w:szCs w:val="20"/>
              </w:rPr>
              <w:t>($2</w:t>
            </w:r>
            <w:r w:rsidR="00FD2730">
              <w:rPr>
                <w:b/>
                <w:sz w:val="20"/>
                <w:szCs w:val="20"/>
              </w:rPr>
              <w:t>52</w:t>
            </w:r>
            <w:r>
              <w:rPr>
                <w:b/>
                <w:sz w:val="20"/>
                <w:szCs w:val="20"/>
              </w:rPr>
              <w:t>,</w:t>
            </w:r>
            <w:r w:rsidR="00FD2730">
              <w:rPr>
                <w:b/>
                <w:sz w:val="20"/>
                <w:szCs w:val="20"/>
              </w:rPr>
              <w:t>135</w:t>
            </w:r>
            <w:r>
              <w:rPr>
                <w:b/>
                <w:sz w:val="20"/>
                <w:szCs w:val="20"/>
              </w:rPr>
              <w:t>)</w:t>
            </w:r>
          </w:p>
        </w:tc>
        <w:tc>
          <w:tcPr>
            <w:tcW w:w="1449" w:type="dxa"/>
            <w:vAlign w:val="bottom"/>
          </w:tcPr>
          <w:p w:rsidR="00D33FC0" w:rsidRPr="00AA1DC7" w:rsidRDefault="009F463F" w:rsidP="005B1D5E">
            <w:pPr>
              <w:jc w:val="right"/>
              <w:rPr>
                <w:b/>
                <w:sz w:val="20"/>
                <w:szCs w:val="20"/>
              </w:rPr>
            </w:pPr>
            <w:r>
              <w:rPr>
                <w:b/>
                <w:sz w:val="20"/>
                <w:szCs w:val="20"/>
              </w:rPr>
              <w:t>($32,701)</w:t>
            </w:r>
          </w:p>
        </w:tc>
        <w:tc>
          <w:tcPr>
            <w:tcW w:w="1275" w:type="dxa"/>
            <w:vAlign w:val="bottom"/>
          </w:tcPr>
          <w:p w:rsidR="00D33FC0" w:rsidRPr="00AA1DC7" w:rsidRDefault="009F463F" w:rsidP="005B1D5E">
            <w:pPr>
              <w:jc w:val="right"/>
              <w:rPr>
                <w:b/>
                <w:sz w:val="20"/>
                <w:szCs w:val="20"/>
              </w:rPr>
            </w:pPr>
            <w:r>
              <w:rPr>
                <w:b/>
                <w:sz w:val="20"/>
                <w:szCs w:val="20"/>
              </w:rPr>
              <w:t>($32,701)</w:t>
            </w:r>
          </w:p>
        </w:tc>
        <w:tc>
          <w:tcPr>
            <w:tcW w:w="1275" w:type="dxa"/>
            <w:vAlign w:val="bottom"/>
          </w:tcPr>
          <w:p w:rsidR="00D33FC0" w:rsidRPr="00AA1DC7" w:rsidRDefault="009F463F" w:rsidP="005B1D5E">
            <w:pPr>
              <w:jc w:val="right"/>
              <w:rPr>
                <w:b/>
                <w:sz w:val="20"/>
                <w:szCs w:val="20"/>
              </w:rPr>
            </w:pPr>
            <w:r>
              <w:rPr>
                <w:b/>
                <w:sz w:val="20"/>
                <w:szCs w:val="20"/>
              </w:rPr>
              <w:t>($32,701)</w:t>
            </w:r>
          </w:p>
        </w:tc>
        <w:tc>
          <w:tcPr>
            <w:tcW w:w="881" w:type="dxa"/>
            <w:vAlign w:val="bottom"/>
          </w:tcPr>
          <w:p w:rsidR="00D33FC0" w:rsidRPr="00AA1DC7" w:rsidRDefault="009F463F" w:rsidP="00FD2730">
            <w:pPr>
              <w:jc w:val="right"/>
              <w:rPr>
                <w:b/>
                <w:sz w:val="20"/>
                <w:szCs w:val="20"/>
              </w:rPr>
            </w:pPr>
            <w:r>
              <w:rPr>
                <w:b/>
                <w:sz w:val="20"/>
                <w:szCs w:val="20"/>
              </w:rPr>
              <w:t>($3</w:t>
            </w:r>
            <w:r w:rsidR="00FD2730">
              <w:rPr>
                <w:b/>
                <w:sz w:val="20"/>
                <w:szCs w:val="20"/>
              </w:rPr>
              <w:t>50</w:t>
            </w:r>
            <w:r>
              <w:rPr>
                <w:b/>
                <w:sz w:val="20"/>
                <w:szCs w:val="20"/>
              </w:rPr>
              <w:t>,</w:t>
            </w:r>
            <w:r w:rsidR="00FD2730">
              <w:rPr>
                <w:b/>
                <w:sz w:val="20"/>
                <w:szCs w:val="20"/>
              </w:rPr>
              <w:t>238</w:t>
            </w:r>
            <w:r>
              <w:rPr>
                <w:b/>
                <w:sz w:val="20"/>
                <w:szCs w:val="20"/>
              </w:rPr>
              <w:t>)</w:t>
            </w:r>
          </w:p>
        </w:tc>
      </w:tr>
      <w:tr w:rsidR="00FD2730" w:rsidRPr="00AA1DC7" w:rsidTr="00D33FC0">
        <w:tc>
          <w:tcPr>
            <w:tcW w:w="1750" w:type="dxa"/>
          </w:tcPr>
          <w:p w:rsidR="00D33FC0" w:rsidRPr="00AA1DC7" w:rsidRDefault="00D33FC0" w:rsidP="005B1D5E">
            <w:pPr>
              <w:rPr>
                <w:b/>
                <w:sz w:val="20"/>
                <w:szCs w:val="20"/>
              </w:rPr>
            </w:pPr>
            <w:r>
              <w:rPr>
                <w:b/>
                <w:sz w:val="20"/>
                <w:szCs w:val="20"/>
              </w:rPr>
              <w:t>Total</w:t>
            </w:r>
          </w:p>
        </w:tc>
        <w:tc>
          <w:tcPr>
            <w:tcW w:w="1422" w:type="dxa"/>
            <w:vAlign w:val="bottom"/>
          </w:tcPr>
          <w:p w:rsidR="00D33FC0" w:rsidRPr="00AA1DC7" w:rsidRDefault="009F463F" w:rsidP="00FD2730">
            <w:pPr>
              <w:jc w:val="right"/>
              <w:rPr>
                <w:b/>
                <w:sz w:val="20"/>
                <w:szCs w:val="20"/>
              </w:rPr>
            </w:pPr>
            <w:r>
              <w:rPr>
                <w:b/>
                <w:sz w:val="20"/>
                <w:szCs w:val="20"/>
              </w:rPr>
              <w:t>($2,</w:t>
            </w:r>
            <w:r w:rsidR="00FD2730">
              <w:rPr>
                <w:b/>
                <w:sz w:val="20"/>
                <w:szCs w:val="20"/>
              </w:rPr>
              <w:t>669</w:t>
            </w:r>
            <w:r>
              <w:rPr>
                <w:b/>
                <w:sz w:val="20"/>
                <w:szCs w:val="20"/>
              </w:rPr>
              <w:t>,</w:t>
            </w:r>
            <w:r w:rsidR="00FD2730">
              <w:rPr>
                <w:b/>
                <w:sz w:val="20"/>
                <w:szCs w:val="20"/>
              </w:rPr>
              <w:t>453</w:t>
            </w:r>
            <w:r>
              <w:rPr>
                <w:b/>
                <w:sz w:val="20"/>
                <w:szCs w:val="20"/>
              </w:rPr>
              <w:t>)</w:t>
            </w:r>
          </w:p>
        </w:tc>
        <w:tc>
          <w:tcPr>
            <w:tcW w:w="1449" w:type="dxa"/>
            <w:vAlign w:val="bottom"/>
          </w:tcPr>
          <w:p w:rsidR="00D33FC0" w:rsidRPr="00AA1DC7" w:rsidRDefault="009F463F" w:rsidP="005B1D5E">
            <w:pPr>
              <w:jc w:val="right"/>
              <w:rPr>
                <w:b/>
                <w:sz w:val="20"/>
                <w:szCs w:val="20"/>
              </w:rPr>
            </w:pPr>
            <w:r>
              <w:rPr>
                <w:b/>
                <w:sz w:val="20"/>
                <w:szCs w:val="20"/>
              </w:rPr>
              <w:t>($346,217)</w:t>
            </w:r>
          </w:p>
        </w:tc>
        <w:tc>
          <w:tcPr>
            <w:tcW w:w="1275" w:type="dxa"/>
            <w:vAlign w:val="bottom"/>
          </w:tcPr>
          <w:p w:rsidR="00D33FC0" w:rsidRPr="00AA1DC7" w:rsidRDefault="009F463F" w:rsidP="005B1D5E">
            <w:pPr>
              <w:jc w:val="right"/>
              <w:rPr>
                <w:b/>
                <w:sz w:val="20"/>
                <w:szCs w:val="20"/>
              </w:rPr>
            </w:pPr>
            <w:r>
              <w:rPr>
                <w:b/>
                <w:sz w:val="20"/>
                <w:szCs w:val="20"/>
              </w:rPr>
              <w:t>($346,217)</w:t>
            </w:r>
          </w:p>
        </w:tc>
        <w:tc>
          <w:tcPr>
            <w:tcW w:w="1275" w:type="dxa"/>
            <w:vAlign w:val="bottom"/>
          </w:tcPr>
          <w:p w:rsidR="00D33FC0" w:rsidRPr="00AA1DC7" w:rsidRDefault="009F463F" w:rsidP="005B1D5E">
            <w:pPr>
              <w:jc w:val="right"/>
              <w:rPr>
                <w:b/>
                <w:sz w:val="20"/>
                <w:szCs w:val="20"/>
              </w:rPr>
            </w:pPr>
            <w:r>
              <w:rPr>
                <w:b/>
                <w:sz w:val="20"/>
                <w:szCs w:val="20"/>
              </w:rPr>
              <w:t>($346,217)</w:t>
            </w:r>
          </w:p>
        </w:tc>
        <w:tc>
          <w:tcPr>
            <w:tcW w:w="881" w:type="dxa"/>
            <w:vAlign w:val="bottom"/>
          </w:tcPr>
          <w:p w:rsidR="00D33FC0" w:rsidRPr="00AA1DC7" w:rsidRDefault="009F463F" w:rsidP="00FD2730">
            <w:pPr>
              <w:jc w:val="right"/>
              <w:rPr>
                <w:b/>
                <w:sz w:val="20"/>
                <w:szCs w:val="20"/>
              </w:rPr>
            </w:pPr>
            <w:r>
              <w:rPr>
                <w:b/>
                <w:sz w:val="20"/>
                <w:szCs w:val="20"/>
              </w:rPr>
              <w:t>($3,</w:t>
            </w:r>
            <w:r w:rsidR="00FD2730">
              <w:rPr>
                <w:b/>
                <w:sz w:val="20"/>
                <w:szCs w:val="20"/>
              </w:rPr>
              <w:t>708</w:t>
            </w:r>
            <w:r>
              <w:rPr>
                <w:b/>
                <w:sz w:val="20"/>
                <w:szCs w:val="20"/>
              </w:rPr>
              <w:t>,</w:t>
            </w:r>
            <w:r w:rsidR="00FD2730">
              <w:rPr>
                <w:b/>
                <w:sz w:val="20"/>
                <w:szCs w:val="20"/>
              </w:rPr>
              <w:t>104</w:t>
            </w:r>
            <w:r>
              <w:rPr>
                <w:b/>
                <w:sz w:val="20"/>
                <w:szCs w:val="20"/>
              </w:rPr>
              <w:t>)</w:t>
            </w:r>
          </w:p>
        </w:tc>
      </w:tr>
    </w:tbl>
    <w:p w:rsidR="00D33FC0" w:rsidRDefault="00D33FC0" w:rsidP="00AC3A8B">
      <w:pPr>
        <w:rPr>
          <w:sz w:val="20"/>
          <w:szCs w:val="20"/>
        </w:rPr>
      </w:pPr>
      <w:r w:rsidRPr="009F463F">
        <w:rPr>
          <w:sz w:val="20"/>
          <w:szCs w:val="20"/>
        </w:rPr>
        <w:lastRenderedPageBreak/>
        <w:t>*</w:t>
      </w:r>
      <w:r w:rsidR="00D92723">
        <w:rPr>
          <w:sz w:val="20"/>
          <w:szCs w:val="20"/>
        </w:rPr>
        <w:t>Estimate b</w:t>
      </w:r>
      <w:r w:rsidRPr="009F463F">
        <w:rPr>
          <w:sz w:val="20"/>
          <w:szCs w:val="20"/>
        </w:rPr>
        <w:t xml:space="preserve">ased on 2014 </w:t>
      </w:r>
      <w:r w:rsidR="009F463F">
        <w:rPr>
          <w:sz w:val="20"/>
          <w:szCs w:val="20"/>
        </w:rPr>
        <w:t xml:space="preserve">budgeted </w:t>
      </w:r>
      <w:r w:rsidRPr="009F463F">
        <w:rPr>
          <w:sz w:val="20"/>
          <w:szCs w:val="20"/>
        </w:rPr>
        <w:t xml:space="preserve">Social Services </w:t>
      </w:r>
      <w:r w:rsidR="009F463F">
        <w:rPr>
          <w:sz w:val="20"/>
          <w:szCs w:val="20"/>
        </w:rPr>
        <w:t>s</w:t>
      </w:r>
      <w:r w:rsidRPr="009F463F">
        <w:rPr>
          <w:sz w:val="20"/>
          <w:szCs w:val="20"/>
        </w:rPr>
        <w:t>avings as a result of Provincial Uploading</w:t>
      </w:r>
    </w:p>
    <w:p w:rsidR="00FC5774" w:rsidRPr="00B0378D" w:rsidRDefault="00FC5774" w:rsidP="00FC5774">
      <w:pPr>
        <w:pStyle w:val="Heading2"/>
        <w:rPr>
          <w:b/>
        </w:rPr>
      </w:pPr>
      <w:r w:rsidRPr="00B0378D">
        <w:t>Financial / Staffing / Legal / Information Technology Considerations</w:t>
      </w:r>
    </w:p>
    <w:p w:rsidR="00FC5774" w:rsidRDefault="00FC5774" w:rsidP="00FC5774">
      <w:r>
        <w:t>The actions proposed in Report FR-CS-35-14, if approved in the 2015 budget, will provide an estimated 2015 budget levy decrease of 5.13% or a reduction of $2,669,453 in funding requirements.</w:t>
      </w:r>
    </w:p>
    <w:p w:rsidR="003C1648" w:rsidRDefault="00871ADB" w:rsidP="00FC5774">
      <w:r>
        <w:t>T</w:t>
      </w:r>
      <w:r w:rsidR="00FC5774">
        <w:t xml:space="preserve">he 2015 budget would </w:t>
      </w:r>
      <w:r>
        <w:t xml:space="preserve">also </w:t>
      </w:r>
      <w:r w:rsidR="00FC5774">
        <w:t>distribute, on a one-time basis, $</w:t>
      </w:r>
      <w:r w:rsidR="00100FCB">
        <w:t>2</w:t>
      </w:r>
      <w:r w:rsidR="00FC5774">
        <w:t>,</w:t>
      </w:r>
      <w:r w:rsidR="00100FCB">
        <w:t>825</w:t>
      </w:r>
      <w:r w:rsidR="00FC5774">
        <w:t>,</w:t>
      </w:r>
      <w:r w:rsidR="00100FCB">
        <w:t>743</w:t>
      </w:r>
      <w:r w:rsidR="00FC5774">
        <w:t xml:space="preserve"> in reserve funding to local municipalities to assist them with local priorities.</w:t>
      </w:r>
      <w:r w:rsidR="004868F3">
        <w:t xml:space="preserve">  </w:t>
      </w:r>
      <w:r>
        <w:t xml:space="preserve">These recommendations, if approved, will provide local municipalities with financial assistance as the phase-down in OMPF funding continues.  The County will also need </w:t>
      </w:r>
      <w:r w:rsidR="003C1648">
        <w:t xml:space="preserve">in the future </w:t>
      </w:r>
      <w:r>
        <w:t>to address its infrastructure deficit and this will require additional funding</w:t>
      </w:r>
      <w:r w:rsidR="003C1648">
        <w:t xml:space="preserve">, either from the upper levels of government and/or by increasing annual budgetary requests from taxation.  </w:t>
      </w:r>
    </w:p>
    <w:p w:rsidR="00C73ACB" w:rsidRDefault="003C1648" w:rsidP="00FC5774">
      <w:r>
        <w:t>The County has also undertaken a Transportation Master Plan, which i</w:t>
      </w:r>
      <w:r w:rsidR="00C73ACB">
        <w:t>s</w:t>
      </w:r>
      <w:r>
        <w:t xml:space="preserve"> a strategic plan to direct policies and infrastructure initiatives in Grey County.  This </w:t>
      </w:r>
      <w:r w:rsidR="00C73ACB">
        <w:t xml:space="preserve">draft </w:t>
      </w:r>
      <w:r>
        <w:t xml:space="preserve">plan </w:t>
      </w:r>
      <w:r w:rsidR="00C73ACB">
        <w:t xml:space="preserve">contains a number of recommendations and should Council approve all or part of the recommendations contained in this draft plan, there </w:t>
      </w:r>
      <w:r w:rsidR="009B0FD4">
        <w:t xml:space="preserve">will </w:t>
      </w:r>
      <w:r w:rsidR="00C73ACB">
        <w:t>be a need for additional funding.</w:t>
      </w:r>
    </w:p>
    <w:p w:rsidR="00FC5774" w:rsidRDefault="004868F3" w:rsidP="00FC5774">
      <w:r>
        <w:t xml:space="preserve">As well, </w:t>
      </w:r>
      <w:r w:rsidR="00C73ACB">
        <w:t xml:space="preserve">the County has been </w:t>
      </w:r>
      <w:r w:rsidR="00054EB2">
        <w:t xml:space="preserve">supporting </w:t>
      </w:r>
      <w:r>
        <w:t xml:space="preserve">the initiative of </w:t>
      </w:r>
      <w:r w:rsidR="00054EB2">
        <w:t xml:space="preserve">the Western Ontario Wardens’ Caucus to </w:t>
      </w:r>
      <w:r w:rsidR="00C73ACB">
        <w:t>provid</w:t>
      </w:r>
      <w:r w:rsidR="00054EB2">
        <w:t>e</w:t>
      </w:r>
      <w:r w:rsidR="00C73ACB">
        <w:t xml:space="preserve"> ultra-high speed </w:t>
      </w:r>
      <w:proofErr w:type="spellStart"/>
      <w:r w:rsidR="00054EB2">
        <w:t>fibre</w:t>
      </w:r>
      <w:proofErr w:type="spellEnd"/>
      <w:r w:rsidR="00054EB2">
        <w:t xml:space="preserve"> optic </w:t>
      </w:r>
      <w:r w:rsidR="00C73ACB">
        <w:t xml:space="preserve">broadband </w:t>
      </w:r>
      <w:r w:rsidR="009B0FD4">
        <w:t xml:space="preserve">(SWIFT - </w:t>
      </w:r>
      <w:proofErr w:type="spellStart"/>
      <w:r w:rsidR="009B0FD4">
        <w:t>SouthWestern</w:t>
      </w:r>
      <w:proofErr w:type="spellEnd"/>
      <w:r w:rsidR="009B0FD4">
        <w:t xml:space="preserve"> Integrated </w:t>
      </w:r>
      <w:proofErr w:type="spellStart"/>
      <w:r w:rsidR="009B0FD4">
        <w:t>Fibre</w:t>
      </w:r>
      <w:proofErr w:type="spellEnd"/>
      <w:r w:rsidR="009B0FD4">
        <w:t xml:space="preserve"> Technology) </w:t>
      </w:r>
      <w:r w:rsidR="00C73ACB">
        <w:t>for everyone</w:t>
      </w:r>
      <w:r w:rsidR="00054EB2">
        <w:t xml:space="preserve"> in Southwestern Ontario in order to </w:t>
      </w:r>
      <w:r w:rsidR="009B0FD4">
        <w:t xml:space="preserve">help </w:t>
      </w:r>
      <w:r w:rsidR="00054EB2">
        <w:t>position rural areas to</w:t>
      </w:r>
      <w:r w:rsidR="009B0FD4">
        <w:t xml:space="preserve"> prosper socially and economically.  This project is designed to provide </w:t>
      </w:r>
      <w:proofErr w:type="spellStart"/>
      <w:r w:rsidR="009B0FD4">
        <w:t>fibre</w:t>
      </w:r>
      <w:proofErr w:type="spellEnd"/>
      <w:r w:rsidR="009B0FD4">
        <w:t xml:space="preserve"> optic coverage to all 16 counties and 8 separated municipalities currently participating in the study.   </w:t>
      </w:r>
      <w:r w:rsidR="002767F0">
        <w:t xml:space="preserve">It has been estimated that the timeline to complete the initial construction and connect communities will be 2019/2020.  The County of Grey will be required to provide funding to initiate this project and as well may need to provide additional funding in order to accelerate the expansion of this build </w:t>
      </w:r>
      <w:r>
        <w:t xml:space="preserve">and </w:t>
      </w:r>
      <w:r w:rsidR="002767F0">
        <w:t xml:space="preserve">to </w:t>
      </w:r>
      <w:r>
        <w:t xml:space="preserve">ensure everyone in Grey County has access to ultra-high speed </w:t>
      </w:r>
      <w:proofErr w:type="spellStart"/>
      <w:r>
        <w:t>fibre</w:t>
      </w:r>
      <w:proofErr w:type="spellEnd"/>
      <w:r>
        <w:t xml:space="preserve"> optic broadband.</w:t>
      </w:r>
      <w:r w:rsidR="00871ADB">
        <w:t xml:space="preserve"> </w:t>
      </w:r>
    </w:p>
    <w:p w:rsidR="00AC3A8B" w:rsidRPr="00580AAD" w:rsidRDefault="00AC3A8B" w:rsidP="00AC3A8B">
      <w:pPr>
        <w:pStyle w:val="Heading2"/>
      </w:pPr>
      <w:r w:rsidRPr="00580AAD">
        <w:t>Link to Strategic Goals / Priorities</w:t>
      </w:r>
    </w:p>
    <w:p w:rsidR="00AC3A8B" w:rsidRDefault="00586264" w:rsidP="00AC3A8B">
      <w:r>
        <w:t xml:space="preserve">Communication is a key value to the County’s Strategic Plan.  This report provides information to Council in regards to the sharing of provincial uploading of social services costs.  </w:t>
      </w:r>
    </w:p>
    <w:p w:rsidR="00586264" w:rsidRDefault="00586264" w:rsidP="00AC3A8B">
      <w:r>
        <w:t>This report also provides financial support that will enhance the sustainability of rural and small urban communities.</w:t>
      </w:r>
    </w:p>
    <w:p w:rsidR="00AC3A8B" w:rsidRPr="00B0378D" w:rsidRDefault="00AC3A8B" w:rsidP="00AC3A8B">
      <w:r w:rsidRPr="00B0378D">
        <w:t>Respectfully submitted by,</w:t>
      </w:r>
    </w:p>
    <w:p w:rsidR="00FE7170" w:rsidRDefault="00FC5774" w:rsidP="00A85D36">
      <w:r>
        <w:lastRenderedPageBreak/>
        <w:t>Kevin Weppler</w:t>
      </w:r>
      <w:r>
        <w:br/>
        <w:t>Director of Finance</w:t>
      </w:r>
    </w:p>
    <w:sectPr w:rsidR="00FE7170" w:rsidSect="00E12B7D">
      <w:footerReference w:type="default" r:id="rId10"/>
      <w:type w:val="continuous"/>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47" w:rsidRDefault="00B86947" w:rsidP="00883D8D">
      <w:pPr>
        <w:spacing w:after="0" w:line="240" w:lineRule="auto"/>
      </w:pPr>
      <w:r>
        <w:separator/>
      </w:r>
    </w:p>
  </w:endnote>
  <w:endnote w:type="continuationSeparator" w:id="0">
    <w:p w:rsidR="00B86947" w:rsidRDefault="00B86947"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546F94" w:rsidP="00AC3A8B">
    <w:pPr>
      <w:pStyle w:val="Footer"/>
      <w:rPr>
        <w:sz w:val="22"/>
        <w:szCs w:val="22"/>
      </w:rPr>
    </w:pPr>
    <w:r>
      <w:rPr>
        <w:sz w:val="22"/>
        <w:szCs w:val="22"/>
      </w:rPr>
      <w:t>FR-CS</w:t>
    </w:r>
    <w:r w:rsidR="00AC3A8B" w:rsidRPr="00FB686F">
      <w:rPr>
        <w:sz w:val="22"/>
        <w:szCs w:val="22"/>
      </w:rPr>
      <w:t>-</w:t>
    </w:r>
    <w:r w:rsidR="00CB7138">
      <w:rPr>
        <w:sz w:val="22"/>
        <w:szCs w:val="22"/>
      </w:rPr>
      <w:t>3</w:t>
    </w:r>
    <w:r>
      <w:rPr>
        <w:sz w:val="22"/>
        <w:szCs w:val="22"/>
      </w:rPr>
      <w:t>5</w:t>
    </w:r>
    <w:r w:rsidR="00AC3A8B" w:rsidRPr="00FB686F">
      <w:rPr>
        <w:sz w:val="22"/>
        <w:szCs w:val="22"/>
      </w:rPr>
      <w:t>-</w:t>
    </w:r>
    <w:r>
      <w:rPr>
        <w:sz w:val="22"/>
        <w:szCs w:val="22"/>
      </w:rPr>
      <w:t>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8B700A">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5C1AE4">
      <w:rPr>
        <w:sz w:val="22"/>
        <w:szCs w:val="22"/>
      </w:rPr>
      <w:t>November</w:t>
    </w:r>
    <w:r>
      <w:rPr>
        <w:sz w:val="22"/>
        <w:szCs w:val="22"/>
      </w:rPr>
      <w:t xml:space="preserve"> </w:t>
    </w:r>
    <w:r w:rsidR="005C1AE4">
      <w:rPr>
        <w:sz w:val="22"/>
        <w:szCs w:val="22"/>
      </w:rPr>
      <w:t>1</w:t>
    </w:r>
    <w:r w:rsidR="00071024">
      <w:rPr>
        <w:sz w:val="22"/>
        <w:szCs w:val="22"/>
      </w:rPr>
      <w:t>9</w:t>
    </w:r>
    <w:r>
      <w:rP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47" w:rsidRDefault="00B86947" w:rsidP="00883D8D">
      <w:pPr>
        <w:spacing w:after="0" w:line="240" w:lineRule="auto"/>
      </w:pPr>
      <w:r>
        <w:separator/>
      </w:r>
    </w:p>
  </w:footnote>
  <w:footnote w:type="continuationSeparator" w:id="0">
    <w:p w:rsidR="00B86947" w:rsidRDefault="00B86947"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515"/>
    <w:multiLevelType w:val="hybridMultilevel"/>
    <w:tmpl w:val="A8A65C1C"/>
    <w:lvl w:ilvl="0" w:tplc="0409000F">
      <w:start w:val="1"/>
      <w:numFmt w:val="decimal"/>
      <w:lvlText w:val="%1."/>
      <w:lvlJc w:val="left"/>
      <w:pPr>
        <w:ind w:left="780" w:hanging="360"/>
      </w:pPr>
      <w:rPr>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A716A9E"/>
    <w:multiLevelType w:val="hybridMultilevel"/>
    <w:tmpl w:val="EBBABC5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440D64D1"/>
    <w:multiLevelType w:val="hybridMultilevel"/>
    <w:tmpl w:val="F16EBD10"/>
    <w:lvl w:ilvl="0" w:tplc="6934469A">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7554E85"/>
    <w:multiLevelType w:val="hybridMultilevel"/>
    <w:tmpl w:val="FAAC257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4E2060DB"/>
    <w:multiLevelType w:val="hybridMultilevel"/>
    <w:tmpl w:val="F00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D3F07"/>
    <w:multiLevelType w:val="hybridMultilevel"/>
    <w:tmpl w:val="44A4C91C"/>
    <w:lvl w:ilvl="0" w:tplc="0409000F">
      <w:start w:val="1"/>
      <w:numFmt w:val="decimal"/>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4A6A"/>
    <w:rsid w:val="00047A0A"/>
    <w:rsid w:val="00054EB2"/>
    <w:rsid w:val="00071024"/>
    <w:rsid w:val="00081FCF"/>
    <w:rsid w:val="0009759F"/>
    <w:rsid w:val="000B7C11"/>
    <w:rsid w:val="00100107"/>
    <w:rsid w:val="00100FCB"/>
    <w:rsid w:val="00112A08"/>
    <w:rsid w:val="00113FCB"/>
    <w:rsid w:val="001148BE"/>
    <w:rsid w:val="001371FF"/>
    <w:rsid w:val="00144AAE"/>
    <w:rsid w:val="00170B08"/>
    <w:rsid w:val="001957C3"/>
    <w:rsid w:val="001E1B40"/>
    <w:rsid w:val="001E41E0"/>
    <w:rsid w:val="001F1D7C"/>
    <w:rsid w:val="00247CA8"/>
    <w:rsid w:val="002725E7"/>
    <w:rsid w:val="002767F0"/>
    <w:rsid w:val="00283E4C"/>
    <w:rsid w:val="002915BC"/>
    <w:rsid w:val="002C6064"/>
    <w:rsid w:val="002D6AA1"/>
    <w:rsid w:val="003062A4"/>
    <w:rsid w:val="003930DE"/>
    <w:rsid w:val="003A039D"/>
    <w:rsid w:val="003C1648"/>
    <w:rsid w:val="00446A72"/>
    <w:rsid w:val="00457F2B"/>
    <w:rsid w:val="00464176"/>
    <w:rsid w:val="00464B17"/>
    <w:rsid w:val="00480D97"/>
    <w:rsid w:val="004868F3"/>
    <w:rsid w:val="004874E8"/>
    <w:rsid w:val="004942B7"/>
    <w:rsid w:val="004D3F45"/>
    <w:rsid w:val="004D57A9"/>
    <w:rsid w:val="004F083D"/>
    <w:rsid w:val="005132DB"/>
    <w:rsid w:val="005159C2"/>
    <w:rsid w:val="00517490"/>
    <w:rsid w:val="00542536"/>
    <w:rsid w:val="00546F94"/>
    <w:rsid w:val="00584690"/>
    <w:rsid w:val="00586264"/>
    <w:rsid w:val="005A360A"/>
    <w:rsid w:val="005C1AE4"/>
    <w:rsid w:val="005E0067"/>
    <w:rsid w:val="00644370"/>
    <w:rsid w:val="00646E17"/>
    <w:rsid w:val="006563A9"/>
    <w:rsid w:val="00672AC1"/>
    <w:rsid w:val="006A4FE0"/>
    <w:rsid w:val="006B4C34"/>
    <w:rsid w:val="006C676C"/>
    <w:rsid w:val="00713A50"/>
    <w:rsid w:val="00735CE1"/>
    <w:rsid w:val="00785C4B"/>
    <w:rsid w:val="00792983"/>
    <w:rsid w:val="007F676A"/>
    <w:rsid w:val="00816DA7"/>
    <w:rsid w:val="00863F60"/>
    <w:rsid w:val="00871ADB"/>
    <w:rsid w:val="00883D8D"/>
    <w:rsid w:val="00895616"/>
    <w:rsid w:val="008B700A"/>
    <w:rsid w:val="008C5CE9"/>
    <w:rsid w:val="008E4C7F"/>
    <w:rsid w:val="00925D0E"/>
    <w:rsid w:val="009303A8"/>
    <w:rsid w:val="00953DFC"/>
    <w:rsid w:val="009548D1"/>
    <w:rsid w:val="00975B1E"/>
    <w:rsid w:val="009B0FD4"/>
    <w:rsid w:val="009B5723"/>
    <w:rsid w:val="009F463F"/>
    <w:rsid w:val="00A16FC9"/>
    <w:rsid w:val="00A4193B"/>
    <w:rsid w:val="00A52D13"/>
    <w:rsid w:val="00A607A3"/>
    <w:rsid w:val="00A63DD6"/>
    <w:rsid w:val="00A82DB3"/>
    <w:rsid w:val="00A85D36"/>
    <w:rsid w:val="00AA1DC7"/>
    <w:rsid w:val="00AA32AA"/>
    <w:rsid w:val="00AA4F69"/>
    <w:rsid w:val="00AA5E09"/>
    <w:rsid w:val="00AB2197"/>
    <w:rsid w:val="00AC3A8B"/>
    <w:rsid w:val="00AD45B4"/>
    <w:rsid w:val="00AD7D8E"/>
    <w:rsid w:val="00B12CC6"/>
    <w:rsid w:val="00B64986"/>
    <w:rsid w:val="00B86947"/>
    <w:rsid w:val="00BC5FAC"/>
    <w:rsid w:val="00C0206D"/>
    <w:rsid w:val="00C12AC0"/>
    <w:rsid w:val="00C30D1C"/>
    <w:rsid w:val="00C33F14"/>
    <w:rsid w:val="00C65DB1"/>
    <w:rsid w:val="00C73ACB"/>
    <w:rsid w:val="00CB7138"/>
    <w:rsid w:val="00CE439D"/>
    <w:rsid w:val="00CF4AA5"/>
    <w:rsid w:val="00D3266B"/>
    <w:rsid w:val="00D33FC0"/>
    <w:rsid w:val="00D92723"/>
    <w:rsid w:val="00DC1FF0"/>
    <w:rsid w:val="00DF34D9"/>
    <w:rsid w:val="00E12B7D"/>
    <w:rsid w:val="00E32F4D"/>
    <w:rsid w:val="00EC2DCE"/>
    <w:rsid w:val="00F303E1"/>
    <w:rsid w:val="00F31CE5"/>
    <w:rsid w:val="00F608B3"/>
    <w:rsid w:val="00F60A9D"/>
    <w:rsid w:val="00F74C41"/>
    <w:rsid w:val="00F94DBD"/>
    <w:rsid w:val="00F95D06"/>
    <w:rsid w:val="00FA4FA3"/>
    <w:rsid w:val="00FC5774"/>
    <w:rsid w:val="00FD2730"/>
    <w:rsid w:val="00FD2D7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584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584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2014-10-28T14:46:00+00:00</sentdate>
    <Superseded xmlns="e6cd7bd4-3f3e-4495-b8c9-139289cd76e6">false</Superseded>
    <Year xmlns="e6cd7bd4-3f3e-4495-b8c9-139289cd76e6">2014</Year>
    <originator xmlns="e6cd7bd4-3f3e-4495-b8c9-139289cd76e6">wepplerk</originator>
    <policyNumber xmlns="e6cd7bd4-3f3e-4495-b8c9-139289cd76e6" xsi:nil="true"/>
    <documentNumber xmlns="e6cd7bd4-3f3e-4495-b8c9-139289cd76e6">GC_100177404</documentNumber>
    <Municipality xmlns="e6cd7bd4-3f3e-4495-b8c9-139289cd76e6" xsi:nil="true"/>
    <gcNumber xmlns="e6cd7bd4-3f3e-4495-b8c9-139289cd76e6">GC_238484</gcNumber>
    <recordCategory xmlns="e6cd7bd4-3f3e-4495-b8c9-139289cd76e6">C11</recordCategory>
    <isPublic xmlns="e6cd7bd4-3f3e-4495-b8c9-139289cd76e6">true</isPublic>
    <sharedId xmlns="e6cd7bd4-3f3e-4495-b8c9-139289cd76e6">q33P_B24SbO1fjzBeBoqVQ</sharedId>
    <committee xmlns="e6cd7bd4-3f3e-4495-b8c9-139289cd76e6">Corporate Services Committee</committee>
    <meetingId xmlns="e6cd7bd4-3f3e-4495-b8c9-139289cd76e6">[2014-11-19 Corporate Services [1136]]</meetingId>
    <capitalProjectPriority xmlns="e6cd7bd4-3f3e-4495-b8c9-139289cd76e6" xsi:nil="true"/>
    <policyApprovalDate xmlns="e6cd7bd4-3f3e-4495-b8c9-139289cd76e6" xsi:nil="true"/>
    <NodeRef xmlns="e6cd7bd4-3f3e-4495-b8c9-139289cd76e6">6732b4b5-f89c-4d78-8fb0-db3e3cb8ce9d</NodeRef>
    <addressees xmlns="e6cd7bd4-3f3e-4495-b8c9-139289cd76e6" xsi:nil="true"/>
    <identifier xmlns="e6cd7bd4-3f3e-4495-b8c9-139289cd76e6">2016-1466999074243</identifier>
    <reviewAsOf xmlns="e6cd7bd4-3f3e-4495-b8c9-139289cd76e6">2026-11-08T08:43:59+00:00</reviewAsOf>
    <bylawNumber xmlns="e6cd7bd4-3f3e-4495-b8c9-139289cd76e6" xsi:nil="true"/>
    <addressee xmlns="e6cd7bd4-3f3e-4495-b8c9-139289cd76e6" xsi:nil="true"/>
    <recordOriginatingLocation xmlns="e6cd7bd4-3f3e-4495-b8c9-139289cd76e6">workspace://SpacesStore/67a4fe3b-1bc4-499c-a023-b9cb82fafb31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ADEB15C7-5355-4FE7-B8D0-7D71E6CA724C}">
  <ds:schemaRefs>
    <ds:schemaRef ds:uri="http://schemas.openxmlformats.org/officeDocument/2006/bibliography"/>
  </ds:schemaRefs>
</ds:datastoreItem>
</file>

<file path=customXml/itemProps2.xml><?xml version="1.0" encoding="utf-8"?>
<ds:datastoreItem xmlns:ds="http://schemas.openxmlformats.org/officeDocument/2006/customXml" ds:itemID="{8BB3C8E3-CC78-4297-A6E0-93D1C1A7BEAD}"/>
</file>

<file path=customXml/itemProps3.xml><?xml version="1.0" encoding="utf-8"?>
<ds:datastoreItem xmlns:ds="http://schemas.openxmlformats.org/officeDocument/2006/customXml" ds:itemID="{18A32962-F9AE-434C-B2C4-B4171A5D32BC}"/>
</file>

<file path=customXml/itemProps4.xml><?xml version="1.0" encoding="utf-8"?>
<ds:datastoreItem xmlns:ds="http://schemas.openxmlformats.org/officeDocument/2006/customXml" ds:itemID="{3AE90B03-C579-49AA-B1CF-48DDD209021F}"/>
</file>

<file path=customXml/itemProps5.xml><?xml version="1.0" encoding="utf-8"?>
<ds:datastoreItem xmlns:ds="http://schemas.openxmlformats.org/officeDocument/2006/customXml" ds:itemID="{5A8DBC6F-196E-45AA-96DF-ECB8BD0A718E}"/>
</file>

<file path=docProps/app.xml><?xml version="1.0" encoding="utf-8"?>
<Properties xmlns="http://schemas.openxmlformats.org/officeDocument/2006/extended-properties" xmlns:vt="http://schemas.openxmlformats.org/officeDocument/2006/docPropsVTypes">
  <Template>Normal</Template>
  <TotalTime>452</TotalTime>
  <Pages>9</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19</cp:revision>
  <cp:lastPrinted>2014-11-10T22:02:00Z</cp:lastPrinted>
  <dcterms:created xsi:type="dcterms:W3CDTF">2014-10-28T18:46:00Z</dcterms:created>
  <dcterms:modified xsi:type="dcterms:W3CDTF">2014-12-29T14:35:00Z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