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477231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June 4, 2015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477231">
        <w:t>Transportation and Public Safety Committee meeting dated May 21, 2015</w:t>
      </w:r>
      <w:r w:rsidRPr="00D04EF0">
        <w:t xml:space="preserve">, adopted as </w:t>
      </w:r>
      <w:r w:rsidRPr="00477231">
        <w:t>presented</w:t>
      </w:r>
      <w:r w:rsidR="00477231" w:rsidRPr="00477231">
        <w:t>/</w:t>
      </w:r>
      <w:r w:rsidR="00477231">
        <w:t>amended</w:t>
      </w:r>
      <w:r w:rsidRPr="00D04EF0">
        <w:t xml:space="preserve"> </w:t>
      </w:r>
      <w:r w:rsidR="00477231">
        <w:t>by Grey County Council on June 2, 2015</w:t>
      </w:r>
    </w:p>
    <w:p w:rsidR="00477231" w:rsidRPr="00D04EF0" w:rsidRDefault="00646C58" w:rsidP="00477231">
      <w:pPr>
        <w:pStyle w:val="ListParagraph"/>
        <w:spacing w:before="240" w:line="240" w:lineRule="auto"/>
        <w:ind w:left="1434"/>
        <w:contextualSpacing w:val="0"/>
      </w:pPr>
      <w:hyperlink r:id="rId10" w:tooltip="Transportation and Public Safety Committee Minutes May 21 2015" w:history="1">
        <w:r w:rsidR="00477231">
          <w:rPr>
            <w:rStyle w:val="Hyperlink"/>
          </w:rPr>
          <w:t>Transportation and Public Safety Committee Minutes May 21 2015</w:t>
        </w:r>
      </w:hyperlink>
    </w:p>
    <w:p w:rsidR="001571F8" w:rsidRDefault="009C76CD" w:rsidP="00477231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Summary of Five Year Capital and Extra-Ordinary Expenditures</w:t>
      </w:r>
    </w:p>
    <w:p w:rsidR="00D417FC" w:rsidRPr="00D04EF0" w:rsidRDefault="00477231" w:rsidP="00477231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Paramedic Services</w:t>
      </w:r>
    </w:p>
    <w:p w:rsidR="00D417FC" w:rsidRPr="00F61296" w:rsidRDefault="0047723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PSR-TAPS-04-15 </w:t>
      </w:r>
      <w:r w:rsidRPr="00477231">
        <w:rPr>
          <w:color w:val="000000"/>
        </w:rPr>
        <w:t>2016-2020 Five Year Capital Forecast</w:t>
      </w:r>
    </w:p>
    <w:p w:rsidR="00F61296" w:rsidRPr="00D04EF0" w:rsidRDefault="00F61296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PSR-TAPS-04-15  Paramedic Services 2016-2020 Five Year Capital Forecast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Reports –</w:t>
      </w:r>
      <w:r w:rsidR="00477231">
        <w:rPr>
          <w:b/>
        </w:rPr>
        <w:t xml:space="preserve"> Transportation Services</w:t>
      </w:r>
    </w:p>
    <w:p w:rsidR="00D417FC" w:rsidRPr="00F61296" w:rsidRDefault="0047723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TR-TAPS-51-15 </w:t>
      </w:r>
      <w:r w:rsidRPr="00477231">
        <w:rPr>
          <w:color w:val="000000"/>
        </w:rPr>
        <w:t xml:space="preserve">Transportation Services </w:t>
      </w:r>
      <w:r>
        <w:rPr>
          <w:color w:val="000000"/>
        </w:rPr>
        <w:t>2016-2020</w:t>
      </w:r>
      <w:r w:rsidRPr="00477231">
        <w:rPr>
          <w:color w:val="000000"/>
        </w:rPr>
        <w:t xml:space="preserve"> Draft Five Year Capital Forecast</w:t>
      </w:r>
    </w:p>
    <w:p w:rsidR="00F61296" w:rsidRDefault="00F61296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TR-TAPS-51-15 Machinery Capital</w:t>
      </w:r>
    </w:p>
    <w:p w:rsidR="00F61296" w:rsidRDefault="00F61296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TR-TAPS-51-15 Housing Capital</w:t>
      </w:r>
    </w:p>
    <w:p w:rsidR="00F61296" w:rsidRDefault="00F61296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 xml:space="preserve">Attachment to TR-TAPS-51-15 Construction, Resurfacing and Minor Capital </w:t>
      </w:r>
    </w:p>
    <w:p w:rsidR="00F61296" w:rsidRDefault="00F61296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TR-TAPS-51-15 Construction and Resurfacing Map</w:t>
      </w:r>
    </w:p>
    <w:p w:rsidR="009873BE" w:rsidRPr="00D04EF0" w:rsidRDefault="009873BE" w:rsidP="00F61296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TR-TAPS-51-15 County of Grey Structure Chart</w:t>
      </w:r>
    </w:p>
    <w:p w:rsidR="00646C58" w:rsidRDefault="00646C58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:rsidR="00646C58" w:rsidRPr="00646C58" w:rsidRDefault="00646C58" w:rsidP="00646C58">
      <w:pPr>
        <w:pStyle w:val="ListParagraph"/>
        <w:numPr>
          <w:ilvl w:val="1"/>
          <w:numId w:val="1"/>
        </w:numPr>
        <w:spacing w:before="240" w:line="360" w:lineRule="auto"/>
      </w:pPr>
      <w:r w:rsidRPr="00646C58">
        <w:t xml:space="preserve">Town of Aurora – Community Mailboxes </w:t>
      </w:r>
      <w:r w:rsidRPr="00646C58">
        <w:rPr>
          <w:i/>
        </w:rPr>
        <w:t>(</w:t>
      </w:r>
      <w:r>
        <w:rPr>
          <w:i/>
        </w:rPr>
        <w:t>D</w:t>
      </w:r>
      <w:bookmarkStart w:id="0" w:name="_GoBack"/>
      <w:bookmarkEnd w:id="0"/>
      <w:r w:rsidRPr="00646C58">
        <w:rPr>
          <w:i/>
        </w:rPr>
        <w:t>irection required)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477231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June 18,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D417FC" w:rsidRPr="00D04EF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E76954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E76954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4,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646C58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571F8"/>
    <w:rsid w:val="001800F1"/>
    <w:rsid w:val="001C1977"/>
    <w:rsid w:val="001F1D7C"/>
    <w:rsid w:val="00247CA8"/>
    <w:rsid w:val="002915BC"/>
    <w:rsid w:val="002C6064"/>
    <w:rsid w:val="003164AC"/>
    <w:rsid w:val="00354058"/>
    <w:rsid w:val="00446A72"/>
    <w:rsid w:val="00457F2B"/>
    <w:rsid w:val="00464176"/>
    <w:rsid w:val="00477231"/>
    <w:rsid w:val="004942B7"/>
    <w:rsid w:val="004F083D"/>
    <w:rsid w:val="005A360A"/>
    <w:rsid w:val="00646C58"/>
    <w:rsid w:val="006563A9"/>
    <w:rsid w:val="006B4C34"/>
    <w:rsid w:val="00793A16"/>
    <w:rsid w:val="00883D8D"/>
    <w:rsid w:val="00895616"/>
    <w:rsid w:val="00953DFC"/>
    <w:rsid w:val="009873BE"/>
    <w:rsid w:val="009C76CD"/>
    <w:rsid w:val="00A07FBC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DC5A9A"/>
    <w:rsid w:val="00E32F4D"/>
    <w:rsid w:val="00E76954"/>
    <w:rsid w:val="00F4528A"/>
    <w:rsid w:val="00F6129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50453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2015-05-26T10:34:00+00:00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GC_250726</gcNumber>
    <recordCategory xmlns="e6cd7bd4-3f3e-4495-b8c9-139289cd76e6">C05</recordCategory>
    <isPublic xmlns="e6cd7bd4-3f3e-4495-b8c9-139289cd76e6">true</isPublic>
    <sharedId xmlns="e6cd7bd4-3f3e-4495-b8c9-139289cd76e6">XqjtyPO9SwGVlhTW5lFAMA</sharedId>
    <committee xmlns="e6cd7bd4-3f3e-4495-b8c9-139289cd76e6">Transportation and Public Safety Committee</committee>
    <meetingId xmlns="e6cd7bd4-3f3e-4495-b8c9-139289cd76e6">[2015-06-04 Transportation &amp; Public Safety [1144]]</meetingId>
    <capitalProjectPriority xmlns="e6cd7bd4-3f3e-4495-b8c9-139289cd76e6" xsi:nil="true"/>
    <policyApprovalDate xmlns="e6cd7bd4-3f3e-4495-b8c9-139289cd76e6" xsi:nil="true"/>
    <NodeRef xmlns="e6cd7bd4-3f3e-4495-b8c9-139289cd76e6">7a425c67-bd8c-44d3-a649-953b37831153</NodeRef>
    <addressees xmlns="e6cd7bd4-3f3e-4495-b8c9-139289cd76e6" xsi:nil="true"/>
    <identifier xmlns="e6cd7bd4-3f3e-4495-b8c9-139289cd76e6">2016-1466998751147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workspace://SpacesStore/2de900f6-d690-47d5-b318-1be9d654d7d4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5A02B8B-C1C0-4617-9923-099D8D5F3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688EA-C8B3-49E3-AC5B-49564822744A}"/>
</file>

<file path=customXml/itemProps3.xml><?xml version="1.0" encoding="utf-8"?>
<ds:datastoreItem xmlns:ds="http://schemas.openxmlformats.org/officeDocument/2006/customXml" ds:itemID="{0AD8C621-01E0-4C31-953A-9C4C22D0D1EE}"/>
</file>

<file path=customXml/itemProps4.xml><?xml version="1.0" encoding="utf-8"?>
<ds:datastoreItem xmlns:ds="http://schemas.openxmlformats.org/officeDocument/2006/customXml" ds:itemID="{3676696A-B56D-495B-9E3F-6A83C435F402}"/>
</file>

<file path=customXml/itemProps5.xml><?xml version="1.0" encoding="utf-8"?>
<ds:datastoreItem xmlns:ds="http://schemas.openxmlformats.org/officeDocument/2006/customXml" ds:itemID="{CF8C2521-BCA8-4B9A-BDDC-24A30CF1D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2015-05-29T13:37:00Z</cp:lastPrinted>
  <dcterms:created xsi:type="dcterms:W3CDTF">2015-05-26T14:34:00Z</dcterms:created>
  <dcterms:modified xsi:type="dcterms:W3CDTF">2015-05-29T14:34:00Z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