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A3226F">
      <w:pPr>
        <w:pStyle w:val="Title"/>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760C9B">
            <w:pPr>
              <w:spacing w:before="60" w:after="60"/>
            </w:pPr>
            <w:r w:rsidRPr="00860D2A">
              <w:rPr>
                <w:b/>
                <w:bCs/>
              </w:rPr>
              <w:t>To</w:t>
            </w:r>
            <w:r>
              <w:t>:</w:t>
            </w:r>
          </w:p>
        </w:tc>
        <w:tc>
          <w:tcPr>
            <w:tcW w:w="6326" w:type="dxa"/>
          </w:tcPr>
          <w:p w14:paraId="229AC4B1" w14:textId="4CD335C8" w:rsidR="009C4373" w:rsidRDefault="009C4373" w:rsidP="00760C9B">
            <w:pPr>
              <w:spacing w:before="60" w:after="60"/>
            </w:pPr>
            <w:r>
              <w:t xml:space="preserve">Warden </w:t>
            </w:r>
            <w:r w:rsidR="001E286E">
              <w:t>Hicks</w:t>
            </w:r>
            <w:r>
              <w:t xml:space="preserve"> and Members of Grey County Council</w:t>
            </w:r>
          </w:p>
        </w:tc>
      </w:tr>
      <w:tr w:rsidR="009C4373" w14:paraId="28B0CAE8" w14:textId="77777777" w:rsidTr="00893CEB">
        <w:tc>
          <w:tcPr>
            <w:tcW w:w="3024" w:type="dxa"/>
          </w:tcPr>
          <w:p w14:paraId="76FE071B" w14:textId="77777777" w:rsidR="009C4373" w:rsidRDefault="009C4373" w:rsidP="00760C9B">
            <w:pPr>
              <w:spacing w:before="60" w:after="60"/>
            </w:pPr>
            <w:r w:rsidRPr="00860D2A">
              <w:rPr>
                <w:b/>
                <w:bCs/>
              </w:rPr>
              <w:t>Committee Date</w:t>
            </w:r>
            <w:r>
              <w:t>:</w:t>
            </w:r>
          </w:p>
        </w:tc>
        <w:tc>
          <w:tcPr>
            <w:tcW w:w="6326" w:type="dxa"/>
          </w:tcPr>
          <w:p w14:paraId="0A6390A5" w14:textId="0A788E30" w:rsidR="009C4373" w:rsidRPr="00E13B5E" w:rsidRDefault="001E286E" w:rsidP="00760C9B">
            <w:pPr>
              <w:spacing w:before="60" w:after="60"/>
            </w:pPr>
            <w:r w:rsidRPr="00E13B5E">
              <w:t>October 2</w:t>
            </w:r>
            <w:r w:rsidR="00084A3C" w:rsidRPr="00E13B5E">
              <w:t>7</w:t>
            </w:r>
            <w:r w:rsidRPr="00E13B5E">
              <w:t>, 202</w:t>
            </w:r>
            <w:r w:rsidR="00084A3C" w:rsidRPr="00E13B5E">
              <w:t>2</w:t>
            </w:r>
          </w:p>
        </w:tc>
      </w:tr>
      <w:tr w:rsidR="009C4373" w14:paraId="2A75EB31" w14:textId="77777777" w:rsidTr="00893CEB">
        <w:tc>
          <w:tcPr>
            <w:tcW w:w="3024" w:type="dxa"/>
          </w:tcPr>
          <w:p w14:paraId="2164EC44" w14:textId="77777777" w:rsidR="009C4373" w:rsidRDefault="009C4373" w:rsidP="00760C9B">
            <w:pPr>
              <w:spacing w:before="60" w:after="60"/>
            </w:pPr>
            <w:r w:rsidRPr="00860D2A">
              <w:rPr>
                <w:b/>
                <w:bCs/>
              </w:rPr>
              <w:t>Subject / Report No</w:t>
            </w:r>
            <w:r>
              <w:t>:</w:t>
            </w:r>
          </w:p>
        </w:tc>
        <w:tc>
          <w:tcPr>
            <w:tcW w:w="6326" w:type="dxa"/>
          </w:tcPr>
          <w:p w14:paraId="37C8B935" w14:textId="1E712C9D" w:rsidR="009C4373" w:rsidRPr="00E13B5E" w:rsidRDefault="001E286E" w:rsidP="00760C9B">
            <w:pPr>
              <w:spacing w:before="60" w:after="60"/>
            </w:pPr>
            <w:r w:rsidRPr="00E13B5E">
              <w:t>LSR-CW-</w:t>
            </w:r>
            <w:r w:rsidR="00E13B5E" w:rsidRPr="00E13B5E">
              <w:t>02</w:t>
            </w:r>
            <w:r w:rsidRPr="00E13B5E">
              <w:t>-2</w:t>
            </w:r>
            <w:r w:rsidR="00084A3C" w:rsidRPr="00E13B5E">
              <w:t>2</w:t>
            </w:r>
          </w:p>
        </w:tc>
      </w:tr>
      <w:tr w:rsidR="009C4373" w14:paraId="762A937E" w14:textId="77777777" w:rsidTr="00893CEB">
        <w:tc>
          <w:tcPr>
            <w:tcW w:w="3024" w:type="dxa"/>
          </w:tcPr>
          <w:p w14:paraId="08CC6E7A" w14:textId="77777777" w:rsidR="009C4373" w:rsidRDefault="009C4373" w:rsidP="00760C9B">
            <w:pPr>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4D0B12B0" w:rsidR="009C4373" w:rsidRPr="00E13B5E" w:rsidRDefault="001E286E" w:rsidP="00760C9B">
                <w:pPr>
                  <w:spacing w:before="60" w:after="60"/>
                </w:pPr>
                <w:r w:rsidRPr="00E13B5E">
                  <w:t>Legal Services Update</w:t>
                </w:r>
              </w:p>
            </w:tc>
          </w:sdtContent>
        </w:sdt>
      </w:tr>
      <w:tr w:rsidR="001E286E" w14:paraId="3A471F7F" w14:textId="77777777" w:rsidTr="00893CEB">
        <w:tc>
          <w:tcPr>
            <w:tcW w:w="3024" w:type="dxa"/>
          </w:tcPr>
          <w:p w14:paraId="5A695257" w14:textId="77777777" w:rsidR="001E286E" w:rsidRDefault="001E286E" w:rsidP="001E286E">
            <w:pPr>
              <w:spacing w:before="60" w:after="60"/>
            </w:pPr>
            <w:r w:rsidRPr="00860D2A">
              <w:rPr>
                <w:b/>
                <w:bCs/>
              </w:rPr>
              <w:t>Prepared by</w:t>
            </w:r>
            <w:r>
              <w:t>:</w:t>
            </w:r>
          </w:p>
        </w:tc>
        <w:tc>
          <w:tcPr>
            <w:tcW w:w="6326" w:type="dxa"/>
          </w:tcPr>
          <w:p w14:paraId="1588C054" w14:textId="49EC4A4B" w:rsidR="001E286E" w:rsidRPr="00E13B5E" w:rsidRDefault="001E286E" w:rsidP="001E286E">
            <w:pPr>
              <w:spacing w:before="60" w:after="60"/>
            </w:pPr>
            <w:r w:rsidRPr="00E13B5E">
              <w:t>Michael Letourneau, Director of Legal Services – County Solicitor</w:t>
            </w:r>
          </w:p>
        </w:tc>
      </w:tr>
      <w:tr w:rsidR="001E286E" w14:paraId="5046C7C1" w14:textId="77777777" w:rsidTr="00893CEB">
        <w:tc>
          <w:tcPr>
            <w:tcW w:w="3024" w:type="dxa"/>
          </w:tcPr>
          <w:p w14:paraId="559021D4" w14:textId="77777777" w:rsidR="001E286E" w:rsidRDefault="001E286E" w:rsidP="001E286E">
            <w:pPr>
              <w:spacing w:before="60" w:after="60"/>
            </w:pPr>
            <w:r w:rsidRPr="00860D2A">
              <w:rPr>
                <w:b/>
                <w:bCs/>
              </w:rPr>
              <w:t>Reviewed by</w:t>
            </w:r>
            <w:r>
              <w:t>:</w:t>
            </w:r>
          </w:p>
        </w:tc>
        <w:tc>
          <w:tcPr>
            <w:tcW w:w="6326" w:type="dxa"/>
          </w:tcPr>
          <w:p w14:paraId="156EA1ED" w14:textId="08EB042E" w:rsidR="001E286E" w:rsidRPr="00E13B5E" w:rsidRDefault="001E286E" w:rsidP="001E286E">
            <w:pPr>
              <w:spacing w:before="60" w:after="60"/>
            </w:pPr>
            <w:r w:rsidRPr="00E13B5E">
              <w:t>Kim Wingrove, Chief Administrative Officer</w:t>
            </w:r>
          </w:p>
        </w:tc>
      </w:tr>
      <w:tr w:rsidR="009C4373" w14:paraId="2A1ACE62" w14:textId="77777777" w:rsidTr="00893CEB">
        <w:tc>
          <w:tcPr>
            <w:tcW w:w="3024" w:type="dxa"/>
          </w:tcPr>
          <w:p w14:paraId="466A1BF7" w14:textId="77777777" w:rsidR="009C4373" w:rsidRDefault="009C4373" w:rsidP="00760C9B">
            <w:pPr>
              <w:spacing w:before="60" w:after="60"/>
            </w:pPr>
            <w:r w:rsidRPr="00860D2A">
              <w:rPr>
                <w:b/>
                <w:bCs/>
              </w:rPr>
              <w:t>Lower Tier(s) Affected</w:t>
            </w:r>
            <w:r>
              <w:t>:</w:t>
            </w:r>
          </w:p>
        </w:tc>
        <w:tc>
          <w:tcPr>
            <w:tcW w:w="6326" w:type="dxa"/>
          </w:tcPr>
          <w:p w14:paraId="6FBFBF4D" w14:textId="77777777" w:rsidR="009C4373" w:rsidRDefault="009C4373" w:rsidP="00760C9B">
            <w:pPr>
              <w:spacing w:before="60" w:after="60"/>
            </w:pPr>
          </w:p>
        </w:tc>
      </w:tr>
      <w:tr w:rsidR="009C4373" w14:paraId="7E914223" w14:textId="77777777" w:rsidTr="00893CEB">
        <w:tc>
          <w:tcPr>
            <w:tcW w:w="3024" w:type="dxa"/>
          </w:tcPr>
          <w:p w14:paraId="616C3E2C" w14:textId="77777777" w:rsidR="009C4373" w:rsidRDefault="009C4373" w:rsidP="00760C9B">
            <w:pPr>
              <w:spacing w:before="60" w:after="60"/>
            </w:pPr>
            <w:r w:rsidRPr="00860D2A">
              <w:rPr>
                <w:b/>
                <w:bCs/>
              </w:rPr>
              <w:t>Status</w:t>
            </w:r>
            <w:r>
              <w:t>:</w:t>
            </w:r>
          </w:p>
        </w:tc>
        <w:tc>
          <w:tcPr>
            <w:tcW w:w="6326" w:type="dxa"/>
          </w:tcPr>
          <w:p w14:paraId="1099FD26" w14:textId="3D3E2045" w:rsidR="009C4373" w:rsidRDefault="00784B24" w:rsidP="00784B24">
            <w:pPr>
              <w:tabs>
                <w:tab w:val="left" w:pos="1920"/>
              </w:tabs>
              <w:spacing w:before="60" w:after="60"/>
            </w:pPr>
            <w:r w:rsidRPr="00784B24">
              <w:t>Recommendation adopted by Committee as presented per Resolution CW140-22; Endorsed by County Council November 10, 2022, per Resolution CC98-22.</w:t>
            </w:r>
            <w:r>
              <w:tab/>
            </w:r>
          </w:p>
        </w:tc>
      </w:tr>
    </w:tbl>
    <w:p w14:paraId="22045908" w14:textId="77777777" w:rsidR="00893CEB" w:rsidRDefault="00893CEB" w:rsidP="00893CEB">
      <w:pPr>
        <w:pStyle w:val="Heading1"/>
      </w:pPr>
      <w:r>
        <w:t>Recommendation</w:t>
      </w:r>
    </w:p>
    <w:p w14:paraId="05E7E710" w14:textId="0803253F" w:rsidR="001E286E" w:rsidRPr="00706AA8" w:rsidRDefault="001E286E" w:rsidP="001E286E">
      <w:pPr>
        <w:pStyle w:val="Level1"/>
        <w:rPr>
          <w:b/>
          <w:bCs w:val="0"/>
        </w:rPr>
      </w:pPr>
      <w:r w:rsidRPr="00706AA8">
        <w:rPr>
          <w:b/>
          <w:bCs w:val="0"/>
        </w:rPr>
        <w:t>That report LSR-CW-0</w:t>
      </w:r>
      <w:r w:rsidR="0036427A">
        <w:rPr>
          <w:b/>
          <w:bCs w:val="0"/>
        </w:rPr>
        <w:t>2</w:t>
      </w:r>
      <w:r w:rsidRPr="00706AA8">
        <w:rPr>
          <w:b/>
          <w:bCs w:val="0"/>
        </w:rPr>
        <w:t>-</w:t>
      </w:r>
      <w:r>
        <w:rPr>
          <w:b/>
          <w:bCs w:val="0"/>
        </w:rPr>
        <w:t>2</w:t>
      </w:r>
      <w:r w:rsidR="0036427A">
        <w:rPr>
          <w:b/>
          <w:bCs w:val="0"/>
        </w:rPr>
        <w:t>2</w:t>
      </w:r>
      <w:r w:rsidRPr="00706AA8">
        <w:rPr>
          <w:b/>
          <w:bCs w:val="0"/>
        </w:rPr>
        <w:t xml:space="preserve"> which provides a </w:t>
      </w:r>
      <w:r>
        <w:rPr>
          <w:b/>
          <w:bCs w:val="0"/>
        </w:rPr>
        <w:t>L</w:t>
      </w:r>
      <w:r w:rsidRPr="00706AA8">
        <w:rPr>
          <w:b/>
          <w:bCs w:val="0"/>
        </w:rPr>
        <w:t xml:space="preserve">egal </w:t>
      </w:r>
      <w:r>
        <w:rPr>
          <w:b/>
          <w:bCs w:val="0"/>
        </w:rPr>
        <w:t>S</w:t>
      </w:r>
      <w:r w:rsidRPr="00706AA8">
        <w:rPr>
          <w:b/>
          <w:bCs w:val="0"/>
        </w:rPr>
        <w:t>ervices update, be received for information.</w:t>
      </w:r>
    </w:p>
    <w:p w14:paraId="48D663CE" w14:textId="77777777" w:rsidR="00893CEB" w:rsidRDefault="00893CEB" w:rsidP="00893CEB">
      <w:pPr>
        <w:pStyle w:val="Heading2"/>
      </w:pPr>
      <w:r>
        <w:t>Executive Summary</w:t>
      </w:r>
    </w:p>
    <w:p w14:paraId="20762DC2" w14:textId="35C08C77" w:rsidR="00345CE5" w:rsidRPr="00010B75" w:rsidRDefault="00345CE5" w:rsidP="00345CE5">
      <w:r>
        <w:t xml:space="preserve">Legal Services has continued to serve the operational needs of the County in the past year. In addition to supporting </w:t>
      </w:r>
      <w:r w:rsidRPr="00010B75">
        <w:t>County departments in their day-to-day needs, Legal Services has supported numerous high-priority County projects.</w:t>
      </w:r>
    </w:p>
    <w:p w14:paraId="70693FF0" w14:textId="4F3577EA" w:rsidR="00604E98" w:rsidRPr="00010B75" w:rsidRDefault="00201224" w:rsidP="00345CE5">
      <w:r>
        <w:t>The i</w:t>
      </w:r>
      <w:r w:rsidR="00604E98" w:rsidRPr="00010B75">
        <w:t xml:space="preserve">ndirect effects of the </w:t>
      </w:r>
      <w:r w:rsidR="00345CE5" w:rsidRPr="00010B75">
        <w:t xml:space="preserve">COVID-19 pandemic continue to have a significant impact on Legal Services’ operations. </w:t>
      </w:r>
      <w:r w:rsidR="00641F46" w:rsidRPr="00010B75">
        <w:t xml:space="preserve">Unexpected changes to </w:t>
      </w:r>
      <w:r w:rsidR="00A56A73" w:rsidRPr="00201224">
        <w:rPr>
          <w:i/>
          <w:iCs/>
        </w:rPr>
        <w:t xml:space="preserve">Provincial Offences </w:t>
      </w:r>
      <w:r w:rsidR="00BC1E1A" w:rsidRPr="00201224">
        <w:rPr>
          <w:i/>
          <w:iCs/>
        </w:rPr>
        <w:t>Act</w:t>
      </w:r>
      <w:r w:rsidR="00BC1E1A" w:rsidRPr="00010B75">
        <w:t xml:space="preserve"> (POA) </w:t>
      </w:r>
      <w:r w:rsidR="00A56A73" w:rsidRPr="00010B75">
        <w:t>C</w:t>
      </w:r>
      <w:r w:rsidR="00641F46" w:rsidRPr="00010B75">
        <w:t xml:space="preserve">ourt schedules for prosecution staff have </w:t>
      </w:r>
      <w:r w:rsidR="0072575C" w:rsidRPr="00010B75">
        <w:t xml:space="preserve">created impacts on operations and required changes in work plans. These changes have been </w:t>
      </w:r>
      <w:r w:rsidR="00A56A73" w:rsidRPr="00010B75">
        <w:t xml:space="preserve">arranged in close coordination with the County’s </w:t>
      </w:r>
      <w:r w:rsidR="00F92606" w:rsidRPr="00010B75">
        <w:t>c</w:t>
      </w:r>
      <w:r w:rsidR="00A56A73" w:rsidRPr="00010B75">
        <w:t>ourt administration staff</w:t>
      </w:r>
      <w:r w:rsidR="00F92606" w:rsidRPr="00010B75">
        <w:t xml:space="preserve"> and allow both prosecution and administration staff to adapt to </w:t>
      </w:r>
      <w:r w:rsidR="00BC1E1A" w:rsidRPr="00010B75">
        <w:t>these changes and continue to handle the flow of Part I POA charges.</w:t>
      </w:r>
    </w:p>
    <w:p w14:paraId="332F04E0" w14:textId="71A52E38" w:rsidR="00BC1E1A" w:rsidRPr="00010B75" w:rsidRDefault="00364049" w:rsidP="00345CE5">
      <w:r w:rsidRPr="00010B75">
        <w:t xml:space="preserve">Staffing changes have recently been made to provide organizational support for both prosecution </w:t>
      </w:r>
      <w:r w:rsidR="00B6578F">
        <w:t xml:space="preserve">services as well as </w:t>
      </w:r>
      <w:r w:rsidRPr="00010B75">
        <w:t xml:space="preserve">solicitor (legal advice) </w:t>
      </w:r>
      <w:r w:rsidR="00B6578F">
        <w:t xml:space="preserve">and outside counsel management </w:t>
      </w:r>
      <w:r w:rsidRPr="00010B75">
        <w:t xml:space="preserve">services. These changes have included transferring responsibility for </w:t>
      </w:r>
      <w:r w:rsidR="00D161ED" w:rsidRPr="00010B75">
        <w:t xml:space="preserve">realty services from the Clerk’s </w:t>
      </w:r>
      <w:r w:rsidR="00DC7B99" w:rsidRPr="00010B75">
        <w:t xml:space="preserve">office </w:t>
      </w:r>
      <w:r w:rsidR="00D161ED" w:rsidRPr="00010B75">
        <w:t xml:space="preserve">to Legal Services in order to </w:t>
      </w:r>
      <w:r w:rsidR="00010B75" w:rsidRPr="00010B75">
        <w:t>provide organizational support and enhance</w:t>
      </w:r>
      <w:r w:rsidR="00201224">
        <w:t xml:space="preserve"> the</w:t>
      </w:r>
      <w:r w:rsidR="00010B75" w:rsidRPr="00010B75">
        <w:t xml:space="preserve"> delivery of realty services </w:t>
      </w:r>
      <w:r w:rsidR="00010B75">
        <w:t>generally</w:t>
      </w:r>
      <w:r w:rsidR="00010B75" w:rsidRPr="00010B75">
        <w:t>.</w:t>
      </w:r>
    </w:p>
    <w:p w14:paraId="4B2AF860" w14:textId="77777777" w:rsidR="00893CEB" w:rsidRDefault="00893CEB" w:rsidP="00893CEB">
      <w:pPr>
        <w:pStyle w:val="Heading2"/>
      </w:pPr>
      <w:r>
        <w:lastRenderedPageBreak/>
        <w:t>Background and Discussion</w:t>
      </w:r>
    </w:p>
    <w:p w14:paraId="0C458303" w14:textId="77777777" w:rsidR="004A0EDA" w:rsidRDefault="004A0EDA" w:rsidP="004A0EDA">
      <w:pPr>
        <w:spacing w:before="240"/>
        <w:rPr>
          <w:bCs/>
        </w:rPr>
      </w:pPr>
      <w:r>
        <w:rPr>
          <w:bCs/>
        </w:rPr>
        <w:t>The Legal Services department was established in October 2018 to bring the County’s legal services matters in-house to improve service delivery and manage costs. This report is an update on the activities of the department in the past year.</w:t>
      </w:r>
    </w:p>
    <w:p w14:paraId="61BFCC2D" w14:textId="77777777" w:rsidR="004A0EDA" w:rsidRDefault="004A0EDA" w:rsidP="004A0EDA">
      <w:pPr>
        <w:spacing w:before="240"/>
        <w:rPr>
          <w:bCs/>
        </w:rPr>
      </w:pPr>
      <w:r>
        <w:rPr>
          <w:bCs/>
        </w:rPr>
        <w:t>The department has three primary areas of operation:</w:t>
      </w:r>
    </w:p>
    <w:p w14:paraId="1608BC22" w14:textId="77777777" w:rsidR="004A0EDA" w:rsidRDefault="004A0EDA" w:rsidP="00071E3C">
      <w:pPr>
        <w:pStyle w:val="ListParagraph"/>
        <w:numPr>
          <w:ilvl w:val="0"/>
          <w:numId w:val="11"/>
        </w:numPr>
        <w:spacing w:before="240"/>
      </w:pPr>
      <w:r>
        <w:t>Prosecutions under the Provincial Offences Act</w:t>
      </w:r>
    </w:p>
    <w:p w14:paraId="68261966" w14:textId="54704317" w:rsidR="004A0EDA" w:rsidRDefault="00411B44" w:rsidP="00071E3C">
      <w:pPr>
        <w:pStyle w:val="ListParagraph"/>
        <w:numPr>
          <w:ilvl w:val="0"/>
          <w:numId w:val="11"/>
        </w:numPr>
        <w:spacing w:before="240"/>
      </w:pPr>
      <w:r>
        <w:t>Solicitor (l</w:t>
      </w:r>
      <w:r w:rsidR="004A0EDA">
        <w:t xml:space="preserve">egal </w:t>
      </w:r>
      <w:r>
        <w:t xml:space="preserve">advice) services </w:t>
      </w:r>
      <w:r w:rsidR="004A0EDA">
        <w:t>to County Council and County departments</w:t>
      </w:r>
    </w:p>
    <w:p w14:paraId="18A94EF9" w14:textId="40F2DD11" w:rsidR="004A0EDA" w:rsidRDefault="004A0EDA" w:rsidP="00071E3C">
      <w:pPr>
        <w:pStyle w:val="ListParagraph"/>
        <w:numPr>
          <w:ilvl w:val="0"/>
          <w:numId w:val="11"/>
        </w:numPr>
        <w:spacing w:before="240"/>
      </w:pPr>
      <w:r>
        <w:t xml:space="preserve">Management of the County’s outside legal counsel </w:t>
      </w:r>
    </w:p>
    <w:p w14:paraId="58C763FD" w14:textId="75C838D4" w:rsidR="00A1405C" w:rsidRDefault="00BD362D" w:rsidP="00A1405C">
      <w:pPr>
        <w:spacing w:before="240"/>
      </w:pPr>
      <w:r>
        <w:t xml:space="preserve">In September 2022, responsibility to oversee </w:t>
      </w:r>
      <w:r w:rsidR="00A632A0">
        <w:t>real estate transactions</w:t>
      </w:r>
      <w:r w:rsidR="006A0E8F">
        <w:t xml:space="preserve">, land title, and similar issues </w:t>
      </w:r>
      <w:r w:rsidR="00201224">
        <w:t>were</w:t>
      </w:r>
      <w:r w:rsidR="006A0E8F">
        <w:t xml:space="preserve"> transferred from the Clerk’s office to Legal Services.</w:t>
      </w:r>
    </w:p>
    <w:p w14:paraId="0B896109" w14:textId="77777777" w:rsidR="00BE174D" w:rsidRDefault="00BE174D" w:rsidP="00BE174D">
      <w:pPr>
        <w:pStyle w:val="Heading3"/>
      </w:pPr>
      <w:r>
        <w:t>Prosecution Services</w:t>
      </w:r>
    </w:p>
    <w:p w14:paraId="468856F7" w14:textId="2A5B16C0" w:rsidR="00C03225" w:rsidRDefault="003461F8" w:rsidP="00C03225">
      <w:pPr>
        <w:spacing w:before="240"/>
        <w:rPr>
          <w:bCs/>
        </w:rPr>
      </w:pPr>
      <w:r>
        <w:t xml:space="preserve">Prosecution services </w:t>
      </w:r>
      <w:r w:rsidR="00AD4586">
        <w:t>are primarily delivered by staff representing approximately 1.85 FTEs</w:t>
      </w:r>
      <w:r w:rsidR="00806F38">
        <w:t xml:space="preserve"> </w:t>
      </w:r>
      <w:r w:rsidR="00713885">
        <w:t xml:space="preserve">under the supervision of </w:t>
      </w:r>
      <w:r w:rsidR="00806F38">
        <w:t>the County Solicitor.  This is the</w:t>
      </w:r>
      <w:r w:rsidR="003E4446">
        <w:t xml:space="preserve"> </w:t>
      </w:r>
      <w:r w:rsidR="00CE3A43">
        <w:t xml:space="preserve">fourth </w:t>
      </w:r>
      <w:r w:rsidR="003E4446">
        <w:t xml:space="preserve">year of </w:t>
      </w:r>
      <w:r w:rsidR="003E4446">
        <w:rPr>
          <w:bCs/>
        </w:rPr>
        <w:t xml:space="preserve">internal operations for offence prosecutions under the </w:t>
      </w:r>
      <w:r w:rsidR="003E4446" w:rsidRPr="00201224">
        <w:rPr>
          <w:bCs/>
          <w:i/>
          <w:iCs/>
        </w:rPr>
        <w:t>Provincial Offences Act</w:t>
      </w:r>
      <w:r w:rsidR="003E4446">
        <w:rPr>
          <w:bCs/>
        </w:rPr>
        <w:t xml:space="preserve"> (POA)</w:t>
      </w:r>
      <w:r w:rsidR="002A3A65">
        <w:rPr>
          <w:bCs/>
        </w:rPr>
        <w:t xml:space="preserve"> at both of the Court sites operated by the County </w:t>
      </w:r>
      <w:r w:rsidR="00834A60">
        <w:rPr>
          <w:bCs/>
        </w:rPr>
        <w:t>(</w:t>
      </w:r>
      <w:r w:rsidR="00324B45">
        <w:rPr>
          <w:bCs/>
        </w:rPr>
        <w:t xml:space="preserve">through an </w:t>
      </w:r>
      <w:r w:rsidR="00834A60">
        <w:rPr>
          <w:bCs/>
        </w:rPr>
        <w:t>agreement with Bruce County) in Owen Sound and Walkerton.</w:t>
      </w:r>
      <w:r w:rsidR="002B27DE">
        <w:rPr>
          <w:bCs/>
        </w:rPr>
        <w:t xml:space="preserve"> </w:t>
      </w:r>
      <w:r w:rsidR="00F52E4B">
        <w:rPr>
          <w:bCs/>
        </w:rPr>
        <w:t xml:space="preserve">Most prosecutions are for offence charges laid </w:t>
      </w:r>
      <w:r w:rsidR="006B0769">
        <w:rPr>
          <w:bCs/>
        </w:rPr>
        <w:t xml:space="preserve">by police agencies </w:t>
      </w:r>
      <w:r w:rsidR="00F52E4B">
        <w:rPr>
          <w:bCs/>
        </w:rPr>
        <w:t xml:space="preserve">under Part I of the POA. </w:t>
      </w:r>
      <w:r w:rsidR="00EB6E57">
        <w:rPr>
          <w:bCs/>
        </w:rPr>
        <w:t xml:space="preserve">Operations continue in a modified format </w:t>
      </w:r>
      <w:r w:rsidR="006021F3">
        <w:rPr>
          <w:bCs/>
        </w:rPr>
        <w:t xml:space="preserve">due to </w:t>
      </w:r>
      <w:r w:rsidR="00EB6E57">
        <w:rPr>
          <w:bCs/>
        </w:rPr>
        <w:t xml:space="preserve">modifications to POA Court processes </w:t>
      </w:r>
      <w:r w:rsidR="006021F3">
        <w:rPr>
          <w:bCs/>
        </w:rPr>
        <w:t xml:space="preserve">as a response to the </w:t>
      </w:r>
      <w:r w:rsidR="00EB6E57">
        <w:rPr>
          <w:bCs/>
        </w:rPr>
        <w:t>COVID-19 pandemic</w:t>
      </w:r>
      <w:r w:rsidR="002A3A65">
        <w:rPr>
          <w:bCs/>
        </w:rPr>
        <w:t>.</w:t>
      </w:r>
    </w:p>
    <w:p w14:paraId="624671DC" w14:textId="693B2F27" w:rsidR="006D63D9" w:rsidRDefault="006D63D9" w:rsidP="00C03225">
      <w:pPr>
        <w:spacing w:before="240"/>
        <w:rPr>
          <w:bCs/>
        </w:rPr>
      </w:pPr>
      <w:r>
        <w:rPr>
          <w:bCs/>
        </w:rPr>
        <w:t xml:space="preserve">In </w:t>
      </w:r>
      <w:r w:rsidR="00E1780A">
        <w:rPr>
          <w:bCs/>
        </w:rPr>
        <w:t xml:space="preserve">recent </w:t>
      </w:r>
      <w:r>
        <w:rPr>
          <w:bCs/>
        </w:rPr>
        <w:t xml:space="preserve">months, the department has </w:t>
      </w:r>
      <w:r w:rsidR="00891D80">
        <w:rPr>
          <w:bCs/>
        </w:rPr>
        <w:t xml:space="preserve">had to respond to a loss of regularly scheduled Court time caused by </w:t>
      </w:r>
      <w:r w:rsidR="00DD62B8">
        <w:rPr>
          <w:bCs/>
        </w:rPr>
        <w:t xml:space="preserve">the cancellation of </w:t>
      </w:r>
      <w:r w:rsidR="00772576">
        <w:rPr>
          <w:bCs/>
        </w:rPr>
        <w:t xml:space="preserve">50% of Court hearing days </w:t>
      </w:r>
      <w:r w:rsidR="00B77557">
        <w:rPr>
          <w:bCs/>
        </w:rPr>
        <w:t xml:space="preserve">regularly </w:t>
      </w:r>
      <w:r w:rsidR="00772576">
        <w:rPr>
          <w:bCs/>
        </w:rPr>
        <w:t xml:space="preserve">assigned to the </w:t>
      </w:r>
      <w:r w:rsidR="002B27DE">
        <w:rPr>
          <w:bCs/>
        </w:rPr>
        <w:t xml:space="preserve">County for </w:t>
      </w:r>
      <w:r w:rsidR="00772576">
        <w:rPr>
          <w:bCs/>
        </w:rPr>
        <w:t>Owen Sound</w:t>
      </w:r>
      <w:r w:rsidR="002B27DE">
        <w:rPr>
          <w:bCs/>
        </w:rPr>
        <w:t xml:space="preserve"> matters. We understand that the</w:t>
      </w:r>
      <w:r w:rsidR="00B77557">
        <w:rPr>
          <w:bCs/>
        </w:rPr>
        <w:t>se cancellations are due to a lack of judicial resources available for scheduling across the entire West Region of the Ontario</w:t>
      </w:r>
      <w:r w:rsidR="000425FC">
        <w:rPr>
          <w:bCs/>
        </w:rPr>
        <w:t xml:space="preserve"> Court of Justice. </w:t>
      </w:r>
    </w:p>
    <w:p w14:paraId="213AF283" w14:textId="2BC0C9F5" w:rsidR="00486C7B" w:rsidRDefault="000425FC" w:rsidP="00C03225">
      <w:pPr>
        <w:spacing w:before="240"/>
        <w:rPr>
          <w:bCs/>
        </w:rPr>
      </w:pPr>
      <w:r>
        <w:rPr>
          <w:bCs/>
        </w:rPr>
        <w:t xml:space="preserve">Although </w:t>
      </w:r>
      <w:r w:rsidR="00446A24">
        <w:rPr>
          <w:bCs/>
        </w:rPr>
        <w:t xml:space="preserve">the number of hearing days </w:t>
      </w:r>
      <w:r w:rsidR="00E52966">
        <w:rPr>
          <w:bCs/>
        </w:rPr>
        <w:t xml:space="preserve">for Owen Sound </w:t>
      </w:r>
      <w:r w:rsidR="00446A24">
        <w:rPr>
          <w:bCs/>
        </w:rPr>
        <w:t xml:space="preserve">has been significantly reduced, </w:t>
      </w:r>
      <w:r w:rsidR="00E52966">
        <w:rPr>
          <w:bCs/>
        </w:rPr>
        <w:t xml:space="preserve">the department still must handle </w:t>
      </w:r>
      <w:r w:rsidR="0021012E">
        <w:rPr>
          <w:bCs/>
        </w:rPr>
        <w:t xml:space="preserve">the same overall volume of charges. </w:t>
      </w:r>
      <w:r w:rsidR="006A0FF7">
        <w:rPr>
          <w:bCs/>
        </w:rPr>
        <w:t xml:space="preserve">Prosecution staff </w:t>
      </w:r>
      <w:r w:rsidR="00003581">
        <w:rPr>
          <w:bCs/>
        </w:rPr>
        <w:t xml:space="preserve">have worked closely with Court administration staff to </w:t>
      </w:r>
      <w:r w:rsidR="00486C7B">
        <w:rPr>
          <w:bCs/>
        </w:rPr>
        <w:t xml:space="preserve">manage </w:t>
      </w:r>
      <w:r w:rsidR="001D099B">
        <w:rPr>
          <w:bCs/>
        </w:rPr>
        <w:t xml:space="preserve">time on each hearing day that Prosecution staff lead charges on. This approach </w:t>
      </w:r>
      <w:r w:rsidR="00C5602C">
        <w:rPr>
          <w:bCs/>
        </w:rPr>
        <w:t xml:space="preserve">has allowed Court operations to proceed as efficiently as possible </w:t>
      </w:r>
      <w:r w:rsidR="000B6CF1">
        <w:rPr>
          <w:bCs/>
        </w:rPr>
        <w:t xml:space="preserve">on those days </w:t>
      </w:r>
      <w:r w:rsidR="00C5602C">
        <w:rPr>
          <w:bCs/>
        </w:rPr>
        <w:t xml:space="preserve">given the </w:t>
      </w:r>
      <w:r w:rsidR="000B6CF1">
        <w:rPr>
          <w:bCs/>
        </w:rPr>
        <w:t xml:space="preserve">limited resources available, but creates </w:t>
      </w:r>
      <w:r w:rsidR="00A55B5E">
        <w:rPr>
          <w:bCs/>
        </w:rPr>
        <w:t xml:space="preserve">a high demand for staff time on those days. </w:t>
      </w:r>
    </w:p>
    <w:p w14:paraId="1E108CEE" w14:textId="1B680E90" w:rsidR="006A092D" w:rsidRDefault="006A092D" w:rsidP="00EF011A">
      <w:pPr>
        <w:spacing w:before="240"/>
        <w:rPr>
          <w:bCs/>
        </w:rPr>
      </w:pPr>
      <w:r>
        <w:rPr>
          <w:bCs/>
        </w:rPr>
        <w:t>Staff support for managing the time requirements of hearing days</w:t>
      </w:r>
      <w:r w:rsidR="00D879F9">
        <w:rPr>
          <w:bCs/>
        </w:rPr>
        <w:t xml:space="preserve"> has benefitted greatly from the creation of </w:t>
      </w:r>
      <w:r w:rsidR="00DF3EFE">
        <w:rPr>
          <w:bCs/>
        </w:rPr>
        <w:t xml:space="preserve">a </w:t>
      </w:r>
      <w:r w:rsidR="00D879F9">
        <w:rPr>
          <w:bCs/>
        </w:rPr>
        <w:t xml:space="preserve">Prosecution Clerk position. The position is responsible for </w:t>
      </w:r>
      <w:r w:rsidR="008D0BF2">
        <w:rPr>
          <w:bCs/>
        </w:rPr>
        <w:t xml:space="preserve">organization of documents and communications in prosecution matters, and serves as the first point of contact for defendants, legal counsel/representatives, </w:t>
      </w:r>
      <w:r w:rsidR="00EF011A">
        <w:rPr>
          <w:bCs/>
        </w:rPr>
        <w:t xml:space="preserve">and </w:t>
      </w:r>
      <w:r w:rsidR="008D0BF2">
        <w:rPr>
          <w:bCs/>
        </w:rPr>
        <w:t>police</w:t>
      </w:r>
      <w:r w:rsidR="00EF011A">
        <w:rPr>
          <w:bCs/>
        </w:rPr>
        <w:t xml:space="preserve"> and </w:t>
      </w:r>
      <w:r w:rsidR="00EF011A">
        <w:rPr>
          <w:bCs/>
        </w:rPr>
        <w:lastRenderedPageBreak/>
        <w:t xml:space="preserve">civilian witnesses. The support from this position as been invaluable for handling </w:t>
      </w:r>
      <w:r w:rsidR="00524BA7">
        <w:rPr>
          <w:bCs/>
        </w:rPr>
        <w:t>process changes from the transition of the County’s POA court to a formal “early resolution” (ER) approach</w:t>
      </w:r>
      <w:r w:rsidR="001B4A4C">
        <w:rPr>
          <w:bCs/>
        </w:rPr>
        <w:t xml:space="preserve">, as well as for streamlining the efforts of all </w:t>
      </w:r>
      <w:r w:rsidR="004C7698">
        <w:rPr>
          <w:bCs/>
        </w:rPr>
        <w:t xml:space="preserve">staff working on prosecutions. </w:t>
      </w:r>
    </w:p>
    <w:p w14:paraId="630B430C" w14:textId="44249C5C" w:rsidR="0067280A" w:rsidRDefault="00115A01" w:rsidP="00FB18E2">
      <w:pPr>
        <w:spacing w:before="240"/>
      </w:pPr>
      <w:r>
        <w:t xml:space="preserve">With the </w:t>
      </w:r>
      <w:r w:rsidR="006E2672">
        <w:t xml:space="preserve">lapsing in March and April of pandemic-related orders under the </w:t>
      </w:r>
      <w:r w:rsidR="006E2672" w:rsidRPr="0010702C">
        <w:rPr>
          <w:i/>
          <w:iCs/>
        </w:rPr>
        <w:t>Emergency Management and Civil Protection Act (EMCPA)</w:t>
      </w:r>
      <w:r w:rsidR="006E2672">
        <w:t xml:space="preserve"> and the </w:t>
      </w:r>
      <w:r w:rsidR="006E2672" w:rsidRPr="0010702C">
        <w:rPr>
          <w:i/>
          <w:iCs/>
        </w:rPr>
        <w:t>Reopening Ontario (A Flexible Response to COVID-19) Act, 2020</w:t>
      </w:r>
      <w:r w:rsidR="006E2672">
        <w:t xml:space="preserve"> (ROA)</w:t>
      </w:r>
      <w:r w:rsidR="00F04B03">
        <w:t xml:space="preserve">, the department’s operations for </w:t>
      </w:r>
      <w:r w:rsidR="00267B05">
        <w:t>prosecut</w:t>
      </w:r>
      <w:r w:rsidR="0010374C">
        <w:t>ing</w:t>
      </w:r>
      <w:r w:rsidR="00267B05">
        <w:t xml:space="preserve"> charges laid by enforcement personnel of </w:t>
      </w:r>
      <w:r w:rsidR="00F325C5">
        <w:t xml:space="preserve">lower-tier municipalities in Grey and Bruce </w:t>
      </w:r>
      <w:r w:rsidR="00A51953">
        <w:t xml:space="preserve">in respect of </w:t>
      </w:r>
      <w:r w:rsidR="00353448">
        <w:t xml:space="preserve">those </w:t>
      </w:r>
      <w:r w:rsidR="00A7431B">
        <w:t>orders</w:t>
      </w:r>
      <w:r w:rsidR="00353448">
        <w:t xml:space="preserve"> have largely ceased</w:t>
      </w:r>
      <w:r w:rsidR="00800598">
        <w:t xml:space="preserve">. </w:t>
      </w:r>
      <w:r w:rsidR="00FB18E2">
        <w:t xml:space="preserve">Operations to </w:t>
      </w:r>
      <w:r w:rsidR="00313D39">
        <w:t xml:space="preserve">prosecute violations of </w:t>
      </w:r>
      <w:r w:rsidR="0018341C">
        <w:t xml:space="preserve">orders made by the Medical Officer of Health </w:t>
      </w:r>
      <w:r w:rsidR="00CB61BD">
        <w:t>under</w:t>
      </w:r>
      <w:r w:rsidR="0018341C">
        <w:t xml:space="preserve"> the </w:t>
      </w:r>
      <w:r w:rsidR="0018341C" w:rsidRPr="0018341C">
        <w:rPr>
          <w:i/>
          <w:iCs/>
        </w:rPr>
        <w:t>Health Protection and Promotion Act</w:t>
      </w:r>
      <w:r w:rsidR="0018341C">
        <w:t xml:space="preserve"> (HPPA)</w:t>
      </w:r>
      <w:r w:rsidR="00D409D3">
        <w:t xml:space="preserve"> in respect of COVID-19</w:t>
      </w:r>
      <w:r w:rsidR="00313D39">
        <w:t xml:space="preserve"> </w:t>
      </w:r>
      <w:r w:rsidR="00FB18E2">
        <w:t xml:space="preserve">have similarly ceased. </w:t>
      </w:r>
    </w:p>
    <w:p w14:paraId="337EE50B" w14:textId="58F65F5E" w:rsidR="001B4BF6" w:rsidRDefault="00DF4B25" w:rsidP="00C03225">
      <w:pPr>
        <w:spacing w:before="240"/>
      </w:pPr>
      <w:r>
        <w:t xml:space="preserve">The department continues to participate in discussions with a working group convened by the Ministry of the Attorney General (MAG) regarding </w:t>
      </w:r>
      <w:r w:rsidR="004F5149">
        <w:t xml:space="preserve">the </w:t>
      </w:r>
      <w:r>
        <w:t>transfer of Part III POA prosecution functions to municipal</w:t>
      </w:r>
      <w:r w:rsidR="004F5149">
        <w:t>ities</w:t>
      </w:r>
      <w:r>
        <w:t xml:space="preserve">. </w:t>
      </w:r>
      <w:r w:rsidR="00CB7641">
        <w:t xml:space="preserve">This discussion process remains slow, and </w:t>
      </w:r>
      <w:r w:rsidR="00E6614B">
        <w:t xml:space="preserve">since the last update from the department to County Council </w:t>
      </w:r>
      <w:r w:rsidR="00CB7641">
        <w:t xml:space="preserve">the province </w:t>
      </w:r>
      <w:r w:rsidR="000A5F75">
        <w:t xml:space="preserve">has provided some </w:t>
      </w:r>
      <w:r w:rsidR="00101042">
        <w:t xml:space="preserve">additional </w:t>
      </w:r>
      <w:r w:rsidR="000A5F75">
        <w:t xml:space="preserve">guidance on how the </w:t>
      </w:r>
      <w:r w:rsidR="00E6614B">
        <w:t xml:space="preserve">transfer is to be structured, further details, particularly with respect to financial and cost implications, remain </w:t>
      </w:r>
      <w:r w:rsidR="007E7EEB">
        <w:t>largely undefined.</w:t>
      </w:r>
      <w:r w:rsidR="00CE74F9">
        <w:t xml:space="preserve"> </w:t>
      </w:r>
      <w:r w:rsidR="00607D60">
        <w:t xml:space="preserve">Since this transfer would </w:t>
      </w:r>
      <w:r w:rsidR="00EE61F0">
        <w:t xml:space="preserve">likely </w:t>
      </w:r>
      <w:r w:rsidR="00607D60">
        <w:t>create additional work for the department</w:t>
      </w:r>
      <w:r w:rsidR="00AF17B4">
        <w:t xml:space="preserve">, a specific </w:t>
      </w:r>
      <w:r w:rsidR="00EE61F0">
        <w:t xml:space="preserve">report would be provided to Council once </w:t>
      </w:r>
      <w:r w:rsidR="00101042">
        <w:t xml:space="preserve">complete </w:t>
      </w:r>
      <w:r w:rsidR="00EE61F0">
        <w:t>terms are provided.</w:t>
      </w:r>
    </w:p>
    <w:p w14:paraId="19BFCF13" w14:textId="77777777" w:rsidR="00BE174D" w:rsidRDefault="00BE174D" w:rsidP="00BE174D">
      <w:pPr>
        <w:pStyle w:val="Heading3"/>
      </w:pPr>
      <w:r>
        <w:t>Solicitor Services</w:t>
      </w:r>
    </w:p>
    <w:p w14:paraId="6E77BC3B" w14:textId="7A5E4986" w:rsidR="00BE174D" w:rsidRDefault="00BE174D" w:rsidP="00BE174D">
      <w:pPr>
        <w:spacing w:before="240"/>
        <w:rPr>
          <w:bCs/>
        </w:rPr>
      </w:pPr>
      <w:r>
        <w:rPr>
          <w:bCs/>
        </w:rPr>
        <w:t xml:space="preserve">Legal Services </w:t>
      </w:r>
      <w:r w:rsidR="00F90466">
        <w:rPr>
          <w:bCs/>
        </w:rPr>
        <w:t xml:space="preserve">continues to </w:t>
      </w:r>
      <w:r>
        <w:rPr>
          <w:bCs/>
        </w:rPr>
        <w:t>actively provid</w:t>
      </w:r>
      <w:r w:rsidR="00F90466">
        <w:rPr>
          <w:bCs/>
        </w:rPr>
        <w:t>e</w:t>
      </w:r>
      <w:r>
        <w:rPr>
          <w:bCs/>
        </w:rPr>
        <w:t xml:space="preserve"> legal advice on</w:t>
      </w:r>
      <w:r w:rsidR="00C61556">
        <w:rPr>
          <w:bCs/>
        </w:rPr>
        <w:t xml:space="preserve"> virtually</w:t>
      </w:r>
      <w:r>
        <w:rPr>
          <w:bCs/>
        </w:rPr>
        <w:t xml:space="preserve"> all aspects of the County’s operations.</w:t>
      </w:r>
      <w:r w:rsidRPr="003C7015">
        <w:rPr>
          <w:bCs/>
        </w:rPr>
        <w:t xml:space="preserve"> </w:t>
      </w:r>
    </w:p>
    <w:p w14:paraId="141CB5A4" w14:textId="1EE599AA" w:rsidR="00D12BAE" w:rsidRDefault="00C61556" w:rsidP="00D12BAE">
      <w:pPr>
        <w:spacing w:before="240"/>
        <w:rPr>
          <w:bCs/>
        </w:rPr>
      </w:pPr>
      <w:r>
        <w:rPr>
          <w:bCs/>
        </w:rPr>
        <w:t>Solicitor s</w:t>
      </w:r>
      <w:r w:rsidR="00D12BAE">
        <w:rPr>
          <w:bCs/>
        </w:rPr>
        <w:t xml:space="preserve">ervices are available to County Council and to all County </w:t>
      </w:r>
      <w:r w:rsidR="009516FB">
        <w:rPr>
          <w:bCs/>
        </w:rPr>
        <w:t xml:space="preserve">officers and </w:t>
      </w:r>
      <w:r w:rsidR="00D12BAE">
        <w:rPr>
          <w:bCs/>
        </w:rPr>
        <w:t>departments, and range from the delivery of summary legal advice to detailed assistance and support on complex legal matters, including litigation, real estate, governance, policy/procedure development, by-law drafting, and legislative analysis.</w:t>
      </w:r>
    </w:p>
    <w:p w14:paraId="1E488437" w14:textId="6DD66C6F" w:rsidR="00202860" w:rsidRDefault="00202860" w:rsidP="00202860">
      <w:pPr>
        <w:spacing w:before="240"/>
        <w:rPr>
          <w:bCs/>
        </w:rPr>
      </w:pPr>
      <w:r>
        <w:rPr>
          <w:bCs/>
        </w:rPr>
        <w:t xml:space="preserve">The department continues to advise on matters that are direct and indirect effects of the </w:t>
      </w:r>
      <w:r w:rsidR="00D12BAE">
        <w:rPr>
          <w:bCs/>
        </w:rPr>
        <w:t>COVID-19 pandemic.</w:t>
      </w:r>
      <w:r>
        <w:rPr>
          <w:bCs/>
        </w:rPr>
        <w:t xml:space="preserve"> </w:t>
      </w:r>
      <w:r w:rsidR="00E23661">
        <w:rPr>
          <w:bCs/>
        </w:rPr>
        <w:t>Although f</w:t>
      </w:r>
      <w:r>
        <w:rPr>
          <w:bCs/>
        </w:rPr>
        <w:t xml:space="preserve">ewer direct effects </w:t>
      </w:r>
      <w:r w:rsidR="00E23661">
        <w:rPr>
          <w:bCs/>
        </w:rPr>
        <w:t xml:space="preserve">of the pandemic </w:t>
      </w:r>
      <w:r w:rsidR="00950476">
        <w:rPr>
          <w:bCs/>
        </w:rPr>
        <w:t xml:space="preserve">are being seen beyond areas such as Long-Term Care, </w:t>
      </w:r>
      <w:r w:rsidR="00E93E0F">
        <w:rPr>
          <w:bCs/>
        </w:rPr>
        <w:t xml:space="preserve">indirect effects continue to </w:t>
      </w:r>
      <w:r w:rsidR="00080004">
        <w:rPr>
          <w:bCs/>
        </w:rPr>
        <w:t xml:space="preserve">exist </w:t>
      </w:r>
      <w:r w:rsidR="00E93E0F">
        <w:rPr>
          <w:bCs/>
        </w:rPr>
        <w:t>in a range of areas, including real estate prices</w:t>
      </w:r>
      <w:r w:rsidR="00696314">
        <w:rPr>
          <w:bCs/>
        </w:rPr>
        <w:t xml:space="preserve">, liability protection and </w:t>
      </w:r>
      <w:r w:rsidR="00E93E0F">
        <w:rPr>
          <w:bCs/>
        </w:rPr>
        <w:t>insurance</w:t>
      </w:r>
      <w:r w:rsidR="00696314">
        <w:rPr>
          <w:bCs/>
        </w:rPr>
        <w:t>.</w:t>
      </w:r>
    </w:p>
    <w:p w14:paraId="22EADF9D" w14:textId="73E5FDF4" w:rsidR="007F1DE0" w:rsidRDefault="00EE5AB4" w:rsidP="007F1DE0">
      <w:pPr>
        <w:spacing w:before="240"/>
        <w:rPr>
          <w:bCs/>
        </w:rPr>
      </w:pPr>
      <w:r>
        <w:rPr>
          <w:bCs/>
        </w:rPr>
        <w:t xml:space="preserve">Beyond supporting </w:t>
      </w:r>
      <w:r w:rsidR="00C248F0">
        <w:rPr>
          <w:bCs/>
        </w:rPr>
        <w:t xml:space="preserve">a wide range of </w:t>
      </w:r>
      <w:r>
        <w:rPr>
          <w:bCs/>
        </w:rPr>
        <w:t>general operational requirements, Legal Services has worked on a number of priority County projects in the past year, including:</w:t>
      </w:r>
    </w:p>
    <w:p w14:paraId="71FC4684" w14:textId="21B22B5D" w:rsidR="00EE5AB4" w:rsidRDefault="00EE5AB4" w:rsidP="00071E3C">
      <w:pPr>
        <w:pStyle w:val="ListParagraph"/>
        <w:numPr>
          <w:ilvl w:val="0"/>
          <w:numId w:val="15"/>
        </w:numPr>
        <w:spacing w:before="240"/>
        <w:rPr>
          <w:bCs/>
        </w:rPr>
      </w:pPr>
      <w:r>
        <w:rPr>
          <w:bCs/>
        </w:rPr>
        <w:t>Long-term Care redevelopment</w:t>
      </w:r>
    </w:p>
    <w:p w14:paraId="4B365092" w14:textId="7A333D1A" w:rsidR="00EE5AB4" w:rsidRDefault="009E3786" w:rsidP="00071E3C">
      <w:pPr>
        <w:pStyle w:val="ListParagraph"/>
        <w:numPr>
          <w:ilvl w:val="0"/>
          <w:numId w:val="15"/>
        </w:numPr>
        <w:spacing w:before="240"/>
        <w:rPr>
          <w:bCs/>
        </w:rPr>
      </w:pPr>
      <w:r>
        <w:rPr>
          <w:bCs/>
        </w:rPr>
        <w:t>Acquisition of a site for the Patrol D depot</w:t>
      </w:r>
    </w:p>
    <w:p w14:paraId="7D7E71A7" w14:textId="5C86B9BB" w:rsidR="00143FF6" w:rsidRDefault="00143FF6" w:rsidP="00143FF6">
      <w:pPr>
        <w:pStyle w:val="ListParagraph"/>
        <w:numPr>
          <w:ilvl w:val="0"/>
          <w:numId w:val="15"/>
        </w:numPr>
        <w:spacing w:before="240"/>
        <w:rPr>
          <w:bCs/>
        </w:rPr>
      </w:pPr>
      <w:r>
        <w:rPr>
          <w:bCs/>
        </w:rPr>
        <w:lastRenderedPageBreak/>
        <w:t>Revision of the County’s forest management by-law</w:t>
      </w:r>
    </w:p>
    <w:p w14:paraId="37901154" w14:textId="4122C699" w:rsidR="003F6794" w:rsidRDefault="003F6794" w:rsidP="00143FF6">
      <w:pPr>
        <w:pStyle w:val="ListParagraph"/>
        <w:numPr>
          <w:ilvl w:val="0"/>
          <w:numId w:val="15"/>
        </w:numPr>
        <w:spacing w:before="240"/>
        <w:rPr>
          <w:bCs/>
        </w:rPr>
      </w:pPr>
      <w:r>
        <w:rPr>
          <w:bCs/>
        </w:rPr>
        <w:t>Acquisition and development of the supportive housing facility in Owen Sound</w:t>
      </w:r>
    </w:p>
    <w:p w14:paraId="6E29A203" w14:textId="2FEB7A04" w:rsidR="0088424D" w:rsidRDefault="0088424D" w:rsidP="00143FF6">
      <w:pPr>
        <w:pStyle w:val="ListParagraph"/>
        <w:numPr>
          <w:ilvl w:val="0"/>
          <w:numId w:val="15"/>
        </w:numPr>
        <w:spacing w:before="240"/>
        <w:rPr>
          <w:bCs/>
        </w:rPr>
      </w:pPr>
      <w:r>
        <w:rPr>
          <w:bCs/>
        </w:rPr>
        <w:t xml:space="preserve">Advancement of </w:t>
      </w:r>
      <w:r w:rsidR="00A81E94">
        <w:rPr>
          <w:bCs/>
        </w:rPr>
        <w:t>the Community Improvement Plan strategy</w:t>
      </w:r>
    </w:p>
    <w:p w14:paraId="77B4CAE9" w14:textId="755D844C" w:rsidR="00374E07" w:rsidRDefault="00374E07" w:rsidP="00143FF6">
      <w:pPr>
        <w:pStyle w:val="ListParagraph"/>
        <w:numPr>
          <w:ilvl w:val="0"/>
          <w:numId w:val="15"/>
        </w:numPr>
        <w:spacing w:before="240"/>
        <w:rPr>
          <w:bCs/>
        </w:rPr>
      </w:pPr>
      <w:r>
        <w:rPr>
          <w:bCs/>
        </w:rPr>
        <w:t xml:space="preserve">Development of the </w:t>
      </w:r>
      <w:r w:rsidR="00392227">
        <w:rPr>
          <w:bCs/>
        </w:rPr>
        <w:t>revised Development Charges by-laws.</w:t>
      </w:r>
    </w:p>
    <w:p w14:paraId="61666B24" w14:textId="660FB12F" w:rsidR="00123178" w:rsidRDefault="00797B7A" w:rsidP="00803004">
      <w:pPr>
        <w:spacing w:before="240"/>
        <w:rPr>
          <w:bCs/>
        </w:rPr>
      </w:pPr>
      <w:r>
        <w:rPr>
          <w:bCs/>
        </w:rPr>
        <w:t xml:space="preserve">The overall solicitor services workload remains high, </w:t>
      </w:r>
      <w:r w:rsidR="00263AE3">
        <w:rPr>
          <w:bCs/>
        </w:rPr>
        <w:t xml:space="preserve">due to </w:t>
      </w:r>
      <w:r w:rsidR="00666C58">
        <w:rPr>
          <w:bCs/>
        </w:rPr>
        <w:t>continued overall requests for solicitor services, as well as to ongoing pandemic impacts.</w:t>
      </w:r>
      <w:r w:rsidR="00803004">
        <w:rPr>
          <w:bCs/>
        </w:rPr>
        <w:t xml:space="preserve"> Workload remains driven in </w:t>
      </w:r>
      <w:r w:rsidR="00B35B3E">
        <w:rPr>
          <w:bCs/>
        </w:rPr>
        <w:t xml:space="preserve">large part to the legal complexity in various areas of County operations, </w:t>
      </w:r>
      <w:r w:rsidR="009947FB">
        <w:rPr>
          <w:bCs/>
        </w:rPr>
        <w:t xml:space="preserve">especially </w:t>
      </w:r>
      <w:r w:rsidR="00B35B3E">
        <w:rPr>
          <w:bCs/>
        </w:rPr>
        <w:t xml:space="preserve">long-term care, </w:t>
      </w:r>
      <w:r w:rsidR="00F43550">
        <w:rPr>
          <w:bCs/>
        </w:rPr>
        <w:t>transportation,</w:t>
      </w:r>
      <w:r w:rsidR="009947FB">
        <w:rPr>
          <w:bCs/>
        </w:rPr>
        <w:t xml:space="preserve"> and planning</w:t>
      </w:r>
      <w:r w:rsidR="00F43550">
        <w:rPr>
          <w:bCs/>
        </w:rPr>
        <w:t xml:space="preserve"> as well as the County’s ongoing finance and governance obligations. </w:t>
      </w:r>
    </w:p>
    <w:p w14:paraId="53B5E14D" w14:textId="3B4717A4" w:rsidR="000E32DD" w:rsidRDefault="00B54CB5" w:rsidP="00803004">
      <w:pPr>
        <w:spacing w:before="240"/>
        <w:rPr>
          <w:bCs/>
        </w:rPr>
      </w:pPr>
      <w:r>
        <w:rPr>
          <w:bCs/>
        </w:rPr>
        <w:t xml:space="preserve">In </w:t>
      </w:r>
      <w:r w:rsidR="00123178">
        <w:rPr>
          <w:bCs/>
        </w:rPr>
        <w:t xml:space="preserve">the department’s 2021 </w:t>
      </w:r>
      <w:r w:rsidR="001B0CD1">
        <w:rPr>
          <w:bCs/>
        </w:rPr>
        <w:t xml:space="preserve">report a need was identified for a </w:t>
      </w:r>
      <w:r w:rsidR="00030A35">
        <w:rPr>
          <w:bCs/>
        </w:rPr>
        <w:t xml:space="preserve">dedicated law clerk / department assistant </w:t>
      </w:r>
      <w:r>
        <w:rPr>
          <w:bCs/>
        </w:rPr>
        <w:t xml:space="preserve">position </w:t>
      </w:r>
      <w:r w:rsidR="00030A35">
        <w:rPr>
          <w:bCs/>
        </w:rPr>
        <w:t xml:space="preserve">to manage </w:t>
      </w:r>
      <w:r w:rsidR="000D6224">
        <w:rPr>
          <w:bCs/>
        </w:rPr>
        <w:t>internal discussions with client departments, assist with document review and preparation, and manage logistics and budgets.</w:t>
      </w:r>
      <w:r w:rsidR="001B0CD1">
        <w:rPr>
          <w:bCs/>
        </w:rPr>
        <w:t xml:space="preserve"> In September </w:t>
      </w:r>
      <w:r w:rsidR="00BE1BFE">
        <w:rPr>
          <w:bCs/>
        </w:rPr>
        <w:t xml:space="preserve">2022, </w:t>
      </w:r>
      <w:r w:rsidR="00A85B2A">
        <w:rPr>
          <w:bCs/>
        </w:rPr>
        <w:t>to support</w:t>
      </w:r>
      <w:r w:rsidR="00FB2B1A">
        <w:rPr>
          <w:bCs/>
        </w:rPr>
        <w:t xml:space="preserve"> the creation of such a position, </w:t>
      </w:r>
      <w:r w:rsidR="00C50F6B">
        <w:rPr>
          <w:bCs/>
        </w:rPr>
        <w:t xml:space="preserve">a realignment of some </w:t>
      </w:r>
      <w:r w:rsidR="00A85B2A">
        <w:rPr>
          <w:bCs/>
        </w:rPr>
        <w:t xml:space="preserve">responsibilities </w:t>
      </w:r>
      <w:r w:rsidR="003138A1">
        <w:rPr>
          <w:bCs/>
        </w:rPr>
        <w:t>was undertaken</w:t>
      </w:r>
      <w:r w:rsidR="00A85B2A">
        <w:rPr>
          <w:bCs/>
        </w:rPr>
        <w:t xml:space="preserve"> with the Clerk’s department</w:t>
      </w:r>
      <w:r w:rsidR="00FB2B1A">
        <w:rPr>
          <w:bCs/>
        </w:rPr>
        <w:t xml:space="preserve">, with </w:t>
      </w:r>
      <w:r w:rsidR="00A45661">
        <w:rPr>
          <w:bCs/>
        </w:rPr>
        <w:t>responsibility for realty matters was transferred to Legal Services</w:t>
      </w:r>
      <w:r w:rsidR="00FB2B1A">
        <w:rPr>
          <w:bCs/>
        </w:rPr>
        <w:t xml:space="preserve">. A new position </w:t>
      </w:r>
      <w:r w:rsidR="00BA4567">
        <w:rPr>
          <w:bCs/>
        </w:rPr>
        <w:t xml:space="preserve">of Real Estate Coordinator – Law Clerk was created to deliver both </w:t>
      </w:r>
      <w:r w:rsidR="0067349A">
        <w:rPr>
          <w:bCs/>
        </w:rPr>
        <w:t>real estate and law clerk services</w:t>
      </w:r>
      <w:r w:rsidR="00BC62E0">
        <w:rPr>
          <w:bCs/>
        </w:rPr>
        <w:t xml:space="preserve">. </w:t>
      </w:r>
      <w:r w:rsidR="00CC7B5A">
        <w:rPr>
          <w:bCs/>
        </w:rPr>
        <w:t xml:space="preserve">The position has recently been filled, but </w:t>
      </w:r>
      <w:r w:rsidR="000E32DD">
        <w:rPr>
          <w:bCs/>
        </w:rPr>
        <w:t>d</w:t>
      </w:r>
      <w:r w:rsidR="00165129">
        <w:rPr>
          <w:bCs/>
        </w:rPr>
        <w:t xml:space="preserve">ue to impending staff leaves, </w:t>
      </w:r>
      <w:r w:rsidR="00250299">
        <w:rPr>
          <w:bCs/>
        </w:rPr>
        <w:t xml:space="preserve">full </w:t>
      </w:r>
      <w:r w:rsidR="00C329DE">
        <w:rPr>
          <w:bCs/>
        </w:rPr>
        <w:t xml:space="preserve">operations </w:t>
      </w:r>
      <w:r w:rsidR="00165129">
        <w:rPr>
          <w:bCs/>
        </w:rPr>
        <w:t xml:space="preserve">of this position will </w:t>
      </w:r>
      <w:r w:rsidR="000E32DD">
        <w:rPr>
          <w:bCs/>
        </w:rPr>
        <w:t xml:space="preserve">not be fully established </w:t>
      </w:r>
      <w:r w:rsidR="00BE5902">
        <w:rPr>
          <w:bCs/>
        </w:rPr>
        <w:t>until 2024</w:t>
      </w:r>
      <w:r w:rsidR="00753675">
        <w:rPr>
          <w:bCs/>
        </w:rPr>
        <w:t>, although</w:t>
      </w:r>
      <w:r w:rsidR="00BE5902">
        <w:rPr>
          <w:bCs/>
        </w:rPr>
        <w:t xml:space="preserve"> some support </w:t>
      </w:r>
      <w:r w:rsidR="001856B8">
        <w:rPr>
          <w:bCs/>
        </w:rPr>
        <w:t xml:space="preserve">is already being provided. </w:t>
      </w:r>
    </w:p>
    <w:p w14:paraId="3B439ED8" w14:textId="77777777" w:rsidR="00BE174D" w:rsidRDefault="00BE174D" w:rsidP="00BE174D">
      <w:pPr>
        <w:pStyle w:val="Heading3"/>
      </w:pPr>
      <w:r>
        <w:t>Outside Counsel Management</w:t>
      </w:r>
    </w:p>
    <w:p w14:paraId="2C318B34" w14:textId="4C055139" w:rsidR="00BE174D" w:rsidRDefault="00BE174D" w:rsidP="00BE174D">
      <w:pPr>
        <w:spacing w:before="240"/>
        <w:rPr>
          <w:bCs/>
        </w:rPr>
      </w:pPr>
      <w:r>
        <w:rPr>
          <w:bCs/>
        </w:rPr>
        <w:t>While Legal Services continues to provide a growing range of services to all County departments, it does not have in-house sufficient expertise nor enough working capacity to provide advisory services on the full range of legal matters that the County may be involved with. It will continue to be necessary for the County to employ outside legal counsel to deal with certain types of specialized matters, as well at times when Legal Services could advise on a matter but does not have the capacity to respond promptly.</w:t>
      </w:r>
    </w:p>
    <w:p w14:paraId="03B60F5A" w14:textId="146BA5FB" w:rsidR="00BE174D" w:rsidRDefault="00BE174D" w:rsidP="00BE174D">
      <w:pPr>
        <w:spacing w:before="240"/>
        <w:rPr>
          <w:bCs/>
        </w:rPr>
      </w:pPr>
      <w:r>
        <w:rPr>
          <w:bCs/>
        </w:rPr>
        <w:t xml:space="preserve">Efforts to develop a complete program of evaluation of the services of outside legal counsel </w:t>
      </w:r>
      <w:r w:rsidR="00021197">
        <w:rPr>
          <w:bCs/>
        </w:rPr>
        <w:t xml:space="preserve">have remained </w:t>
      </w:r>
      <w:r>
        <w:rPr>
          <w:bCs/>
        </w:rPr>
        <w:t xml:space="preserve">stalled due to </w:t>
      </w:r>
      <w:r w:rsidR="008E07CF">
        <w:rPr>
          <w:bCs/>
        </w:rPr>
        <w:t xml:space="preserve">requirements for service provision on solicitor service and prosecution matters resulting from both County priority projects as well as </w:t>
      </w:r>
      <w:r w:rsidR="00137176">
        <w:rPr>
          <w:bCs/>
        </w:rPr>
        <w:t>continued demands created by the</w:t>
      </w:r>
      <w:r>
        <w:rPr>
          <w:bCs/>
        </w:rPr>
        <w:t xml:space="preserve"> COVID-19 pandemic. </w:t>
      </w:r>
    </w:p>
    <w:p w14:paraId="3735B673" w14:textId="7CD85A46" w:rsidR="00137176" w:rsidRDefault="00BE174D" w:rsidP="00BE174D">
      <w:pPr>
        <w:spacing w:before="240"/>
        <w:rPr>
          <w:bCs/>
        </w:rPr>
      </w:pPr>
      <w:r>
        <w:rPr>
          <w:bCs/>
        </w:rPr>
        <w:t xml:space="preserve">To date, oversight has been established in certain areas, </w:t>
      </w:r>
      <w:r w:rsidR="00137176">
        <w:rPr>
          <w:bCs/>
        </w:rPr>
        <w:t>including:</w:t>
      </w:r>
    </w:p>
    <w:p w14:paraId="130C18C8" w14:textId="70AB580C" w:rsidR="00137176" w:rsidRDefault="00137176" w:rsidP="00071E3C">
      <w:pPr>
        <w:pStyle w:val="ListParagraph"/>
        <w:numPr>
          <w:ilvl w:val="0"/>
          <w:numId w:val="12"/>
        </w:numPr>
        <w:spacing w:before="240"/>
        <w:rPr>
          <w:bCs/>
        </w:rPr>
      </w:pPr>
      <w:r>
        <w:rPr>
          <w:bCs/>
        </w:rPr>
        <w:t>Planning Act / LPAT appeal matters</w:t>
      </w:r>
    </w:p>
    <w:p w14:paraId="785DBA98" w14:textId="0F1A25A2" w:rsidR="00137176" w:rsidRDefault="00137176" w:rsidP="00071E3C">
      <w:pPr>
        <w:pStyle w:val="ListParagraph"/>
        <w:numPr>
          <w:ilvl w:val="0"/>
          <w:numId w:val="12"/>
        </w:numPr>
        <w:spacing w:before="240"/>
        <w:rPr>
          <w:bCs/>
        </w:rPr>
      </w:pPr>
      <w:r>
        <w:rPr>
          <w:bCs/>
        </w:rPr>
        <w:t>Real estate matters</w:t>
      </w:r>
      <w:r w:rsidR="001565CB">
        <w:rPr>
          <w:bCs/>
        </w:rPr>
        <w:t>, particularly transactional matters (e.g. purchases)</w:t>
      </w:r>
    </w:p>
    <w:p w14:paraId="624EACBB" w14:textId="19449C99" w:rsidR="00137176" w:rsidRDefault="00137176" w:rsidP="00071E3C">
      <w:pPr>
        <w:pStyle w:val="ListParagraph"/>
        <w:numPr>
          <w:ilvl w:val="0"/>
          <w:numId w:val="12"/>
        </w:numPr>
        <w:spacing w:before="240"/>
        <w:rPr>
          <w:bCs/>
        </w:rPr>
      </w:pPr>
      <w:r>
        <w:rPr>
          <w:bCs/>
        </w:rPr>
        <w:t>Intellectual property</w:t>
      </w:r>
    </w:p>
    <w:p w14:paraId="78386B8D" w14:textId="2DBB1453" w:rsidR="00B00DA8" w:rsidRPr="00137176" w:rsidRDefault="00B00DA8" w:rsidP="00071E3C">
      <w:pPr>
        <w:pStyle w:val="ListParagraph"/>
        <w:numPr>
          <w:ilvl w:val="0"/>
          <w:numId w:val="12"/>
        </w:numPr>
        <w:spacing w:before="240"/>
        <w:rPr>
          <w:bCs/>
        </w:rPr>
      </w:pPr>
      <w:r>
        <w:rPr>
          <w:bCs/>
        </w:rPr>
        <w:t>General litigation</w:t>
      </w:r>
      <w:r w:rsidR="00BD2288">
        <w:rPr>
          <w:bCs/>
        </w:rPr>
        <w:t>, excluding insured claims</w:t>
      </w:r>
    </w:p>
    <w:p w14:paraId="4D053BE5" w14:textId="22ABE0ED" w:rsidR="00395678" w:rsidRDefault="00B00DA8" w:rsidP="00BE174D">
      <w:pPr>
        <w:spacing w:before="240"/>
        <w:rPr>
          <w:bCs/>
        </w:rPr>
      </w:pPr>
      <w:r>
        <w:rPr>
          <w:bCs/>
        </w:rPr>
        <w:lastRenderedPageBreak/>
        <w:t>The primary area</w:t>
      </w:r>
      <w:r w:rsidR="002C3599">
        <w:rPr>
          <w:bCs/>
        </w:rPr>
        <w:t>s</w:t>
      </w:r>
      <w:r>
        <w:rPr>
          <w:bCs/>
        </w:rPr>
        <w:t xml:space="preserve"> </w:t>
      </w:r>
      <w:r w:rsidR="00792A50">
        <w:rPr>
          <w:bCs/>
        </w:rPr>
        <w:t xml:space="preserve">where oversight has not been established </w:t>
      </w:r>
      <w:r w:rsidR="00395678">
        <w:rPr>
          <w:bCs/>
        </w:rPr>
        <w:t xml:space="preserve">remains </w:t>
      </w:r>
      <w:r w:rsidR="00792A50">
        <w:rPr>
          <w:bCs/>
        </w:rPr>
        <w:t xml:space="preserve">with </w:t>
      </w:r>
      <w:r w:rsidR="00EF204A">
        <w:rPr>
          <w:bCs/>
        </w:rPr>
        <w:t xml:space="preserve">respect to </w:t>
      </w:r>
      <w:r w:rsidR="00792A50">
        <w:rPr>
          <w:bCs/>
        </w:rPr>
        <w:t>human resources matters</w:t>
      </w:r>
      <w:r w:rsidR="00BD2288">
        <w:rPr>
          <w:bCs/>
        </w:rPr>
        <w:t xml:space="preserve"> and insured claims</w:t>
      </w:r>
      <w:r w:rsidR="009815F0">
        <w:rPr>
          <w:bCs/>
        </w:rPr>
        <w:t>.</w:t>
      </w:r>
      <w:r w:rsidR="00395678">
        <w:rPr>
          <w:bCs/>
        </w:rPr>
        <w:t xml:space="preserve"> </w:t>
      </w:r>
      <w:r w:rsidR="00113BB1">
        <w:rPr>
          <w:bCs/>
        </w:rPr>
        <w:t xml:space="preserve">With increased staff resources </w:t>
      </w:r>
      <w:r w:rsidR="00F83AA0">
        <w:rPr>
          <w:bCs/>
        </w:rPr>
        <w:t xml:space="preserve">becoming </w:t>
      </w:r>
      <w:r w:rsidR="00113BB1">
        <w:rPr>
          <w:bCs/>
        </w:rPr>
        <w:t>available, the department hopes to expand oversight into these areas</w:t>
      </w:r>
      <w:r w:rsidR="00D04A5E">
        <w:rPr>
          <w:bCs/>
        </w:rPr>
        <w:t xml:space="preserve"> in 2023 and 2024</w:t>
      </w:r>
      <w:r w:rsidR="00113BB1">
        <w:rPr>
          <w:bCs/>
        </w:rPr>
        <w:t xml:space="preserve">. </w:t>
      </w:r>
    </w:p>
    <w:p w14:paraId="55E63565" w14:textId="196242C2" w:rsidR="006A0E8F" w:rsidRDefault="006A0E8F" w:rsidP="00201224">
      <w:pPr>
        <w:pStyle w:val="Heading2"/>
      </w:pPr>
      <w:r>
        <w:t>Realty Services</w:t>
      </w:r>
    </w:p>
    <w:p w14:paraId="32FB6B43" w14:textId="3D9526B1" w:rsidR="00D23E31" w:rsidRDefault="00F8551C" w:rsidP="00BE174D">
      <w:pPr>
        <w:spacing w:before="240"/>
        <w:rPr>
          <w:bCs/>
        </w:rPr>
      </w:pPr>
      <w:r>
        <w:rPr>
          <w:bCs/>
        </w:rPr>
        <w:t xml:space="preserve">As noted above, </w:t>
      </w:r>
      <w:r w:rsidR="002B084E">
        <w:rPr>
          <w:bCs/>
        </w:rPr>
        <w:t xml:space="preserve">responsibility for realty services was transferred </w:t>
      </w:r>
      <w:r w:rsidR="00BE1425">
        <w:rPr>
          <w:bCs/>
        </w:rPr>
        <w:t xml:space="preserve">from the Clerk’s office </w:t>
      </w:r>
      <w:r w:rsidR="002B084E">
        <w:rPr>
          <w:bCs/>
        </w:rPr>
        <w:t xml:space="preserve">to Legal Services. Realty </w:t>
      </w:r>
      <w:r w:rsidR="003D5081">
        <w:rPr>
          <w:bCs/>
        </w:rPr>
        <w:t>s</w:t>
      </w:r>
      <w:r w:rsidR="002B084E">
        <w:rPr>
          <w:bCs/>
        </w:rPr>
        <w:t xml:space="preserve">ervices </w:t>
      </w:r>
      <w:r w:rsidR="00D23E31">
        <w:rPr>
          <w:bCs/>
        </w:rPr>
        <w:t xml:space="preserve">work involves handling acquisitions and dispositions of the County real estate holdings and interests in land (e.g. easements). </w:t>
      </w:r>
      <w:r w:rsidR="00911E59">
        <w:rPr>
          <w:bCs/>
        </w:rPr>
        <w:t xml:space="preserve">It also involves </w:t>
      </w:r>
      <w:r w:rsidR="00E0297A">
        <w:rPr>
          <w:bCs/>
        </w:rPr>
        <w:t xml:space="preserve">identification and rectification of errors and anomalies in land title records </w:t>
      </w:r>
      <w:r w:rsidR="0021672E">
        <w:rPr>
          <w:bCs/>
        </w:rPr>
        <w:t xml:space="preserve">for County assets and interests and dealing with third-party requests </w:t>
      </w:r>
      <w:r w:rsidR="003E51D8">
        <w:rPr>
          <w:bCs/>
        </w:rPr>
        <w:t xml:space="preserve">related to land title (e.g. </w:t>
      </w:r>
      <w:r w:rsidR="00114CE7">
        <w:rPr>
          <w:bCs/>
        </w:rPr>
        <w:t xml:space="preserve">applications from developers for absolute title). </w:t>
      </w:r>
    </w:p>
    <w:p w14:paraId="410B6F38" w14:textId="3AF6FAB2" w:rsidR="00BE1425" w:rsidRDefault="00BE1425" w:rsidP="00BE174D">
      <w:pPr>
        <w:spacing w:before="240"/>
        <w:rPr>
          <w:bCs/>
        </w:rPr>
      </w:pPr>
      <w:r>
        <w:rPr>
          <w:bCs/>
        </w:rPr>
        <w:t xml:space="preserve">Prior to the transfer, Legal Services </w:t>
      </w:r>
      <w:r w:rsidR="00315F9D">
        <w:rPr>
          <w:bCs/>
        </w:rPr>
        <w:t xml:space="preserve">generally </w:t>
      </w:r>
      <w:r>
        <w:rPr>
          <w:bCs/>
        </w:rPr>
        <w:t xml:space="preserve">worked closely with the Clerk’s office on </w:t>
      </w:r>
      <w:r w:rsidR="00D7284F">
        <w:rPr>
          <w:bCs/>
        </w:rPr>
        <w:t xml:space="preserve">realty matters given the </w:t>
      </w:r>
      <w:r w:rsidR="00315F9D">
        <w:rPr>
          <w:bCs/>
        </w:rPr>
        <w:t xml:space="preserve">nature of realty work and real estate law. The transfer of responsibility allowed for that close working relationship to be </w:t>
      </w:r>
      <w:r w:rsidR="0050669D">
        <w:rPr>
          <w:bCs/>
        </w:rPr>
        <w:t xml:space="preserve">formalized and is expected to lead </w:t>
      </w:r>
      <w:r w:rsidR="00E973AE">
        <w:rPr>
          <w:bCs/>
        </w:rPr>
        <w:t xml:space="preserve">in the long term </w:t>
      </w:r>
      <w:r w:rsidR="0050669D">
        <w:rPr>
          <w:bCs/>
        </w:rPr>
        <w:t xml:space="preserve">to future improvements in process efficiency and </w:t>
      </w:r>
      <w:r w:rsidR="00A44CB1">
        <w:rPr>
          <w:bCs/>
        </w:rPr>
        <w:t xml:space="preserve">provision </w:t>
      </w:r>
      <w:r w:rsidR="00457CB1">
        <w:rPr>
          <w:bCs/>
        </w:rPr>
        <w:t xml:space="preserve">additional </w:t>
      </w:r>
      <w:r w:rsidR="00A44CB1">
        <w:rPr>
          <w:bCs/>
        </w:rPr>
        <w:t xml:space="preserve">further </w:t>
      </w:r>
      <w:r w:rsidR="00457CB1">
        <w:rPr>
          <w:bCs/>
        </w:rPr>
        <w:t>services by staff rather than through external law firms (e.g. land title registrations).</w:t>
      </w:r>
    </w:p>
    <w:p w14:paraId="2DD83479" w14:textId="539049CF" w:rsidR="00D23E31" w:rsidRDefault="005703E7" w:rsidP="00BE174D">
      <w:pPr>
        <w:spacing w:before="240"/>
        <w:rPr>
          <w:bCs/>
        </w:rPr>
      </w:pPr>
      <w:r>
        <w:rPr>
          <w:bCs/>
        </w:rPr>
        <w:t xml:space="preserve">The transfer of responsibility maintained current staff in the same role, so there has been no disruption in services provided as a result. Upcoming staff leaves </w:t>
      </w:r>
      <w:r w:rsidR="005941D6">
        <w:rPr>
          <w:bCs/>
        </w:rPr>
        <w:t xml:space="preserve">will leave </w:t>
      </w:r>
      <w:r w:rsidR="00B80FC2">
        <w:rPr>
          <w:bCs/>
        </w:rPr>
        <w:t>some realty functions</w:t>
      </w:r>
      <w:r w:rsidR="005941D6">
        <w:rPr>
          <w:bCs/>
        </w:rPr>
        <w:t xml:space="preserve"> temporarily vacant</w:t>
      </w:r>
      <w:r w:rsidR="00B80FC2">
        <w:rPr>
          <w:bCs/>
        </w:rPr>
        <w:t xml:space="preserve">; these are areas that </w:t>
      </w:r>
      <w:r w:rsidR="005941D6">
        <w:rPr>
          <w:bCs/>
        </w:rPr>
        <w:t>cannot be effectively backfilled</w:t>
      </w:r>
      <w:r w:rsidR="00B80FC2">
        <w:rPr>
          <w:bCs/>
        </w:rPr>
        <w:t xml:space="preserve"> in the </w:t>
      </w:r>
      <w:r w:rsidR="000103E8">
        <w:rPr>
          <w:bCs/>
        </w:rPr>
        <w:t>relevant timeframe</w:t>
      </w:r>
      <w:r w:rsidR="005941D6">
        <w:rPr>
          <w:bCs/>
        </w:rPr>
        <w:t xml:space="preserve">. </w:t>
      </w:r>
      <w:r w:rsidR="00FC4075">
        <w:rPr>
          <w:bCs/>
        </w:rPr>
        <w:t xml:space="preserve">Efforts will be made to limit realty services work to higher priority and emergent matters during </w:t>
      </w:r>
      <w:r w:rsidR="000103E8">
        <w:rPr>
          <w:bCs/>
        </w:rPr>
        <w:t>this time</w:t>
      </w:r>
      <w:r w:rsidR="00FC4075">
        <w:rPr>
          <w:bCs/>
        </w:rPr>
        <w:t xml:space="preserve">, and outside </w:t>
      </w:r>
      <w:r w:rsidR="00C5615D">
        <w:rPr>
          <w:bCs/>
        </w:rPr>
        <w:t>service providers may be engaged to assist</w:t>
      </w:r>
      <w:r w:rsidR="000103E8">
        <w:rPr>
          <w:bCs/>
        </w:rPr>
        <w:t xml:space="preserve"> when necessary to address priority matters</w:t>
      </w:r>
      <w:r w:rsidR="00C5615D">
        <w:rPr>
          <w:bCs/>
        </w:rPr>
        <w:t>.</w:t>
      </w:r>
    </w:p>
    <w:p w14:paraId="42F5373C" w14:textId="77777777" w:rsidR="00893CEB" w:rsidRDefault="00893CEB" w:rsidP="00893CEB">
      <w:pPr>
        <w:pStyle w:val="Heading2"/>
      </w:pPr>
      <w:r>
        <w:t>Legal and Legislated Requirements</w:t>
      </w:r>
    </w:p>
    <w:p w14:paraId="66D58856" w14:textId="6DB1C8E9" w:rsidR="00C03225" w:rsidRDefault="00C03225" w:rsidP="00C03225">
      <w:pPr>
        <w:spacing w:before="240"/>
        <w:rPr>
          <w:bCs/>
        </w:rPr>
      </w:pPr>
      <w:r>
        <w:rPr>
          <w:bCs/>
        </w:rPr>
        <w:t>In general, Legal Services must comply with the legislative framework regulating the practice of law (by lawyers) and the delivery of legal services (by paralegals) established under the Law Society Act and the Solicitors Act, the relevant rules of the courts and tribunals before which it</w:t>
      </w:r>
      <w:r w:rsidR="00FF439D">
        <w:rPr>
          <w:bCs/>
        </w:rPr>
        <w:t>s staff</w:t>
      </w:r>
      <w:r>
        <w:rPr>
          <w:bCs/>
        </w:rPr>
        <w:t xml:space="preserve"> appears, as well as the established common law regarding the practice of law. </w:t>
      </w:r>
    </w:p>
    <w:p w14:paraId="28DC30B2" w14:textId="53152CAF" w:rsidR="00C03225" w:rsidRDefault="00C03225" w:rsidP="00C03225">
      <w:pPr>
        <w:spacing w:before="240"/>
        <w:rPr>
          <w:bCs/>
        </w:rPr>
      </w:pPr>
      <w:r>
        <w:rPr>
          <w:bCs/>
        </w:rPr>
        <w:t>In providing prosecution services, Legal Services’ prosecutors must also comply with the legal</w:t>
      </w:r>
      <w:r w:rsidR="00411B44">
        <w:rPr>
          <w:bCs/>
        </w:rPr>
        <w:t xml:space="preserve"> and ethical</w:t>
      </w:r>
      <w:r>
        <w:rPr>
          <w:bCs/>
        </w:rPr>
        <w:t xml:space="preserve"> duties of a prosecutor, as well as the 2000/01 Memorandum of Understanding with the Ministry of the Attorney General regarding </w:t>
      </w:r>
      <w:r w:rsidRPr="001E0753">
        <w:rPr>
          <w:bCs/>
          <w:iCs/>
        </w:rPr>
        <w:t>Provincial Offences Act</w:t>
      </w:r>
      <w:r>
        <w:rPr>
          <w:bCs/>
        </w:rPr>
        <w:t xml:space="preserve"> </w:t>
      </w:r>
      <w:r w:rsidR="00394A42">
        <w:rPr>
          <w:bCs/>
        </w:rPr>
        <w:t xml:space="preserve">prosecutions </w:t>
      </w:r>
      <w:r>
        <w:rPr>
          <w:bCs/>
        </w:rPr>
        <w:t>and the provisions of the Ministry’s Crown Prosecution Manual that apply to Provincial Offences Act matters.</w:t>
      </w:r>
    </w:p>
    <w:p w14:paraId="6E60218B" w14:textId="7D264627" w:rsidR="00465DD4" w:rsidRPr="007F093E" w:rsidRDefault="00465DD4" w:rsidP="00C03225">
      <w:pPr>
        <w:spacing w:before="240"/>
        <w:rPr>
          <w:bCs/>
        </w:rPr>
      </w:pPr>
      <w:r>
        <w:rPr>
          <w:bCs/>
        </w:rPr>
        <w:lastRenderedPageBreak/>
        <w:t xml:space="preserve">In providing realty services, the department must comply with the provisions of the </w:t>
      </w:r>
      <w:r w:rsidR="007E7263">
        <w:rPr>
          <w:bCs/>
        </w:rPr>
        <w:t>Real Estate and Business Brokers Act, 2002</w:t>
      </w:r>
      <w:r w:rsidR="000C24E6">
        <w:rPr>
          <w:bCs/>
        </w:rPr>
        <w:t xml:space="preserve"> (which is expected to be renamed in the future to the Trust in Real Estate Services Act</w:t>
      </w:r>
      <w:r w:rsidR="004A34BA">
        <w:rPr>
          <w:bCs/>
        </w:rPr>
        <w:t xml:space="preserve">, 2002) with respect to professional licensing </w:t>
      </w:r>
      <w:r w:rsidR="004A34BA" w:rsidRPr="007F093E">
        <w:rPr>
          <w:bCs/>
        </w:rPr>
        <w:t>exemptions.</w:t>
      </w:r>
    </w:p>
    <w:p w14:paraId="4DDCF7F4" w14:textId="77777777" w:rsidR="00893CEB" w:rsidRPr="007F093E" w:rsidRDefault="00893CEB" w:rsidP="00893CEB">
      <w:pPr>
        <w:pStyle w:val="Heading2"/>
      </w:pPr>
      <w:r w:rsidRPr="007F093E">
        <w:t>Financial and Resource Implications</w:t>
      </w:r>
    </w:p>
    <w:p w14:paraId="05DE6D69" w14:textId="77777777" w:rsidR="007F093E" w:rsidRDefault="00AE35F5" w:rsidP="00D61684">
      <w:r w:rsidRPr="007F093E">
        <w:t xml:space="preserve">No major requirements beyond currently budgeted resources are currently projected for 2023. </w:t>
      </w:r>
    </w:p>
    <w:p w14:paraId="1286FD3C" w14:textId="1E8CF111" w:rsidR="002F4715" w:rsidRPr="007F093E" w:rsidRDefault="00AE35F5" w:rsidP="00D61684">
      <w:r w:rsidRPr="007F093E">
        <w:t xml:space="preserve">The </w:t>
      </w:r>
      <w:r w:rsidR="00D82886" w:rsidRPr="007F093E">
        <w:t xml:space="preserve">creation of the Law Clerk – Real Estate Coordinator position </w:t>
      </w:r>
      <w:r w:rsidR="00A47A0B" w:rsidRPr="007F093E">
        <w:t xml:space="preserve">has </w:t>
      </w:r>
      <w:r w:rsidR="002F0E64" w:rsidRPr="007F093E">
        <w:t xml:space="preserve">included the </w:t>
      </w:r>
      <w:r w:rsidR="007F093E">
        <w:t xml:space="preserve">existing </w:t>
      </w:r>
      <w:r w:rsidR="002F0E64" w:rsidRPr="007F093E">
        <w:t xml:space="preserve">budgeted funding for the realty portion of the position. </w:t>
      </w:r>
      <w:r w:rsidR="002F4715" w:rsidRPr="007F093E">
        <w:t xml:space="preserve">Intended backfill arrangements </w:t>
      </w:r>
      <w:r w:rsidR="00877DD1">
        <w:t xml:space="preserve">necessitated by </w:t>
      </w:r>
      <w:r w:rsidR="007F093E">
        <w:t xml:space="preserve">staff leaves </w:t>
      </w:r>
      <w:r w:rsidR="009D087C" w:rsidRPr="007F093E">
        <w:t xml:space="preserve">are expected to </w:t>
      </w:r>
      <w:r w:rsidR="002F4715" w:rsidRPr="007F093E">
        <w:t xml:space="preserve">allow the position to be funded </w:t>
      </w:r>
      <w:r w:rsidR="00877DD1">
        <w:t xml:space="preserve">in 2023 </w:t>
      </w:r>
      <w:r w:rsidR="0012397A" w:rsidRPr="007F093E">
        <w:t>based on current budgetary allocation</w:t>
      </w:r>
      <w:r w:rsidR="0086452B">
        <w:t xml:space="preserve"> levels</w:t>
      </w:r>
      <w:r w:rsidR="009D087C" w:rsidRPr="007F093E">
        <w:t xml:space="preserve">, but </w:t>
      </w:r>
      <w:r w:rsidR="0086452B">
        <w:t xml:space="preserve">complete </w:t>
      </w:r>
      <w:r w:rsidR="009D087C" w:rsidRPr="007F093E">
        <w:t xml:space="preserve">funding for the </w:t>
      </w:r>
      <w:r w:rsidR="00D76355" w:rsidRPr="007F093E">
        <w:t>law clerk portion of the position is expected to be required for 2024.</w:t>
      </w:r>
    </w:p>
    <w:p w14:paraId="60BBA4F0" w14:textId="77777777" w:rsidR="00893CEB" w:rsidRPr="007F093E" w:rsidRDefault="00893CEB" w:rsidP="00893CEB">
      <w:pPr>
        <w:pStyle w:val="Heading1"/>
      </w:pPr>
      <w:r w:rsidRPr="007F093E">
        <w:t>Relevant Consultation</w:t>
      </w:r>
    </w:p>
    <w:p w14:paraId="19B37EF4" w14:textId="3E5925F4" w:rsidR="00893CEB" w:rsidRDefault="00784B24" w:rsidP="00893CEB">
      <w:sdt>
        <w:sdtPr>
          <w:id w:val="277615633"/>
          <w14:checkbox>
            <w14:checked w14:val="1"/>
            <w14:checkedState w14:val="2612" w14:font="MS Gothic"/>
            <w14:uncheckedState w14:val="2610" w14:font="MS Gothic"/>
          </w14:checkbox>
        </w:sdtPr>
        <w:sdtEndPr/>
        <w:sdtContent>
          <w:r w:rsidR="00B65022" w:rsidRPr="007F093E">
            <w:rPr>
              <w:rFonts w:ascii="MS Gothic" w:eastAsia="MS Gothic" w:hAnsi="MS Gothic" w:hint="eastAsia"/>
            </w:rPr>
            <w:t>☒</w:t>
          </w:r>
        </w:sdtContent>
      </w:sdt>
      <w:r w:rsidR="00893CEB" w:rsidRPr="007F093E">
        <w:tab/>
        <w:t>Internal (list)</w:t>
      </w:r>
      <w:r w:rsidR="00B65022" w:rsidRPr="007F093E">
        <w:t>: Chief Administrative Officer</w:t>
      </w:r>
    </w:p>
    <w:p w14:paraId="161A2279" w14:textId="77777777" w:rsidR="00893CEB" w:rsidRDefault="00784B24" w:rsidP="00893CEB">
      <w:sdt>
        <w:sdtPr>
          <w:id w:val="148943250"/>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External (list)</w:t>
      </w:r>
    </w:p>
    <w:p w14:paraId="03A9288B" w14:textId="77777777" w:rsidR="00893CEB" w:rsidRDefault="00893CEB" w:rsidP="00893CEB">
      <w:pPr>
        <w:pStyle w:val="Heading3"/>
      </w:pPr>
      <w:r>
        <w:t>Appendices and Attachments</w:t>
      </w:r>
    </w:p>
    <w:p w14:paraId="650B799C" w14:textId="4D0B8F06" w:rsidR="00CC7816" w:rsidRPr="00CC7816" w:rsidRDefault="00B65022" w:rsidP="004F0410">
      <w:pPr>
        <w:rPr>
          <w:lang w:val="en-CA"/>
        </w:rPr>
      </w:pPr>
      <w:r>
        <w:t>None.</w:t>
      </w:r>
    </w:p>
    <w:sectPr w:rsidR="00CC7816" w:rsidRPr="00CC7816" w:rsidSect="00906B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E785" w14:textId="77777777" w:rsidR="0026153E" w:rsidRDefault="0026153E" w:rsidP="004B6AC1">
      <w:pPr>
        <w:spacing w:after="0" w:line="240" w:lineRule="auto"/>
      </w:pPr>
      <w:r>
        <w:separator/>
      </w:r>
    </w:p>
  </w:endnote>
  <w:endnote w:type="continuationSeparator" w:id="0">
    <w:p w14:paraId="05159C2E" w14:textId="77777777" w:rsidR="0026153E" w:rsidRDefault="0026153E"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31A533BC" w:rsidR="00C5196E" w:rsidRDefault="00834118" w:rsidP="00906BC5">
    <w:pPr>
      <w:pStyle w:val="Footer"/>
      <w:jc w:val="center"/>
    </w:pPr>
    <w:r w:rsidRPr="00834118">
      <w:rPr>
        <w:sz w:val="22"/>
        <w:szCs w:val="22"/>
      </w:rPr>
      <w:t>LSR-CW-</w:t>
    </w:r>
    <w:r w:rsidR="00C5615D">
      <w:rPr>
        <w:sz w:val="22"/>
        <w:szCs w:val="22"/>
      </w:rPr>
      <w:t>02</w:t>
    </w:r>
    <w:r w:rsidRPr="00834118">
      <w:rPr>
        <w:sz w:val="22"/>
        <w:szCs w:val="22"/>
      </w:rPr>
      <w:t>-2</w:t>
    </w:r>
    <w:r w:rsidR="00084A3C">
      <w:rPr>
        <w:sz w:val="22"/>
        <w:szCs w:val="22"/>
      </w:rPr>
      <w:t>2</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Date</w:t>
    </w:r>
    <w:r w:rsidR="00906BC5" w:rsidRPr="00E13B5E">
      <w:rPr>
        <w:noProof/>
      </w:rPr>
      <w:t>:</w:t>
    </w:r>
    <w:r w:rsidRPr="00E13B5E">
      <w:rPr>
        <w:noProof/>
      </w:rPr>
      <w:t xml:space="preserve"> October 2</w:t>
    </w:r>
    <w:r w:rsidR="00084A3C" w:rsidRPr="00E13B5E">
      <w:rPr>
        <w:noProof/>
      </w:rPr>
      <w:t>7</w:t>
    </w:r>
    <w:r w:rsidRPr="00E13B5E">
      <w:rPr>
        <w:noProof/>
      </w:rPr>
      <w:t>, 202</w:t>
    </w:r>
    <w:r w:rsidR="00084A3C" w:rsidRPr="00E13B5E">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3FAD" w14:textId="77777777" w:rsidR="0026153E" w:rsidRDefault="0026153E" w:rsidP="004B6AC1">
      <w:pPr>
        <w:spacing w:after="0" w:line="240" w:lineRule="auto"/>
      </w:pPr>
      <w:r>
        <w:separator/>
      </w:r>
    </w:p>
  </w:footnote>
  <w:footnote w:type="continuationSeparator" w:id="0">
    <w:p w14:paraId="4AD7181B" w14:textId="77777777" w:rsidR="0026153E" w:rsidRDefault="0026153E"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E58C1"/>
    <w:multiLevelType w:val="hybridMultilevel"/>
    <w:tmpl w:val="7A78D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25428"/>
    <w:multiLevelType w:val="hybridMultilevel"/>
    <w:tmpl w:val="7F8C9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8D5DA2"/>
    <w:multiLevelType w:val="hybridMultilevel"/>
    <w:tmpl w:val="BA643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1E1B8F"/>
    <w:multiLevelType w:val="hybridMultilevel"/>
    <w:tmpl w:val="078E5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3"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76294C96"/>
    <w:multiLevelType w:val="hybridMultilevel"/>
    <w:tmpl w:val="D9E2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12"/>
  </w:num>
  <w:num w:numId="8">
    <w:abstractNumId w:val="3"/>
  </w:num>
  <w:num w:numId="9">
    <w:abstractNumId w:val="13"/>
  </w:num>
  <w:num w:numId="10">
    <w:abstractNumId w:val="5"/>
  </w:num>
  <w:num w:numId="11">
    <w:abstractNumId w:val="10"/>
  </w:num>
  <w:num w:numId="12">
    <w:abstractNumId w:val="11"/>
  </w:num>
  <w:num w:numId="13">
    <w:abstractNumId w:val="9"/>
  </w:num>
  <w:num w:numId="14">
    <w:abstractNumId w:val="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3581"/>
    <w:rsid w:val="000061C3"/>
    <w:rsid w:val="000103E8"/>
    <w:rsid w:val="00010B75"/>
    <w:rsid w:val="00012B58"/>
    <w:rsid w:val="000142D5"/>
    <w:rsid w:val="00016743"/>
    <w:rsid w:val="00021197"/>
    <w:rsid w:val="000236F5"/>
    <w:rsid w:val="00026B0C"/>
    <w:rsid w:val="00030A35"/>
    <w:rsid w:val="0003157D"/>
    <w:rsid w:val="000346AB"/>
    <w:rsid w:val="000347D9"/>
    <w:rsid w:val="00041374"/>
    <w:rsid w:val="000425FC"/>
    <w:rsid w:val="00044652"/>
    <w:rsid w:val="000447BA"/>
    <w:rsid w:val="00047678"/>
    <w:rsid w:val="00047A0A"/>
    <w:rsid w:val="00047E78"/>
    <w:rsid w:val="000522B6"/>
    <w:rsid w:val="00054A60"/>
    <w:rsid w:val="0005699E"/>
    <w:rsid w:val="00064786"/>
    <w:rsid w:val="00071E3C"/>
    <w:rsid w:val="00072693"/>
    <w:rsid w:val="00073C2D"/>
    <w:rsid w:val="0007662D"/>
    <w:rsid w:val="00080004"/>
    <w:rsid w:val="0008166C"/>
    <w:rsid w:val="00083A40"/>
    <w:rsid w:val="00084A3C"/>
    <w:rsid w:val="00086A7F"/>
    <w:rsid w:val="00094BA8"/>
    <w:rsid w:val="000A5195"/>
    <w:rsid w:val="000A5F75"/>
    <w:rsid w:val="000A665D"/>
    <w:rsid w:val="000A7B73"/>
    <w:rsid w:val="000B2FC6"/>
    <w:rsid w:val="000B6CF1"/>
    <w:rsid w:val="000B7C11"/>
    <w:rsid w:val="000C24E6"/>
    <w:rsid w:val="000D1391"/>
    <w:rsid w:val="000D3D6B"/>
    <w:rsid w:val="000D6224"/>
    <w:rsid w:val="000D707D"/>
    <w:rsid w:val="000E2028"/>
    <w:rsid w:val="000E32DD"/>
    <w:rsid w:val="000F030E"/>
    <w:rsid w:val="000F339B"/>
    <w:rsid w:val="000F7DE2"/>
    <w:rsid w:val="00100AA2"/>
    <w:rsid w:val="00101042"/>
    <w:rsid w:val="001034BB"/>
    <w:rsid w:val="0010374C"/>
    <w:rsid w:val="0010702C"/>
    <w:rsid w:val="00113BB1"/>
    <w:rsid w:val="00114CE7"/>
    <w:rsid w:val="00115A01"/>
    <w:rsid w:val="001163EF"/>
    <w:rsid w:val="00120301"/>
    <w:rsid w:val="00123178"/>
    <w:rsid w:val="0012397A"/>
    <w:rsid w:val="00125C06"/>
    <w:rsid w:val="00127940"/>
    <w:rsid w:val="00130D1A"/>
    <w:rsid w:val="00134184"/>
    <w:rsid w:val="00134B93"/>
    <w:rsid w:val="00137176"/>
    <w:rsid w:val="00141A28"/>
    <w:rsid w:val="00142D96"/>
    <w:rsid w:val="001432A3"/>
    <w:rsid w:val="00143833"/>
    <w:rsid w:val="00143FF6"/>
    <w:rsid w:val="001467F1"/>
    <w:rsid w:val="00146DCA"/>
    <w:rsid w:val="00147696"/>
    <w:rsid w:val="001512C3"/>
    <w:rsid w:val="001565CB"/>
    <w:rsid w:val="00160AAD"/>
    <w:rsid w:val="00164A48"/>
    <w:rsid w:val="00165129"/>
    <w:rsid w:val="00172189"/>
    <w:rsid w:val="00173845"/>
    <w:rsid w:val="0018341C"/>
    <w:rsid w:val="00183B1B"/>
    <w:rsid w:val="001856B8"/>
    <w:rsid w:val="00187C45"/>
    <w:rsid w:val="001948B2"/>
    <w:rsid w:val="00194DFD"/>
    <w:rsid w:val="00196CD0"/>
    <w:rsid w:val="00197815"/>
    <w:rsid w:val="001A0805"/>
    <w:rsid w:val="001A0A21"/>
    <w:rsid w:val="001A13FB"/>
    <w:rsid w:val="001A31CE"/>
    <w:rsid w:val="001B0CD1"/>
    <w:rsid w:val="001B2CC3"/>
    <w:rsid w:val="001B4A4C"/>
    <w:rsid w:val="001B4BF6"/>
    <w:rsid w:val="001B7EB2"/>
    <w:rsid w:val="001C0942"/>
    <w:rsid w:val="001C2C22"/>
    <w:rsid w:val="001C3431"/>
    <w:rsid w:val="001D099B"/>
    <w:rsid w:val="001D240E"/>
    <w:rsid w:val="001D724D"/>
    <w:rsid w:val="001E0803"/>
    <w:rsid w:val="001E1FAD"/>
    <w:rsid w:val="001E286E"/>
    <w:rsid w:val="001E7239"/>
    <w:rsid w:val="001F4F23"/>
    <w:rsid w:val="001F5A84"/>
    <w:rsid w:val="00201224"/>
    <w:rsid w:val="00202860"/>
    <w:rsid w:val="002072A5"/>
    <w:rsid w:val="0021012E"/>
    <w:rsid w:val="0021088D"/>
    <w:rsid w:val="0021672E"/>
    <w:rsid w:val="002172F6"/>
    <w:rsid w:val="00225132"/>
    <w:rsid w:val="00234FC9"/>
    <w:rsid w:val="00235D6F"/>
    <w:rsid w:val="002360C1"/>
    <w:rsid w:val="00242EEE"/>
    <w:rsid w:val="0024545F"/>
    <w:rsid w:val="00247AC9"/>
    <w:rsid w:val="00250299"/>
    <w:rsid w:val="002530D6"/>
    <w:rsid w:val="00256E92"/>
    <w:rsid w:val="0026153E"/>
    <w:rsid w:val="00263AE3"/>
    <w:rsid w:val="002656CA"/>
    <w:rsid w:val="00266F3F"/>
    <w:rsid w:val="00267B05"/>
    <w:rsid w:val="00270CAD"/>
    <w:rsid w:val="00271FE9"/>
    <w:rsid w:val="00273924"/>
    <w:rsid w:val="00274431"/>
    <w:rsid w:val="00280906"/>
    <w:rsid w:val="0028365F"/>
    <w:rsid w:val="002861C2"/>
    <w:rsid w:val="002874BE"/>
    <w:rsid w:val="002874DF"/>
    <w:rsid w:val="00287670"/>
    <w:rsid w:val="00290CFA"/>
    <w:rsid w:val="0029130B"/>
    <w:rsid w:val="00296EB5"/>
    <w:rsid w:val="002A3088"/>
    <w:rsid w:val="002A3A65"/>
    <w:rsid w:val="002A52DB"/>
    <w:rsid w:val="002A7872"/>
    <w:rsid w:val="002B0815"/>
    <w:rsid w:val="002B084E"/>
    <w:rsid w:val="002B27DE"/>
    <w:rsid w:val="002B6CFB"/>
    <w:rsid w:val="002C3599"/>
    <w:rsid w:val="002C4773"/>
    <w:rsid w:val="002C7C57"/>
    <w:rsid w:val="002E1CB2"/>
    <w:rsid w:val="002E7E0E"/>
    <w:rsid w:val="002F0E64"/>
    <w:rsid w:val="002F101C"/>
    <w:rsid w:val="002F2FAC"/>
    <w:rsid w:val="002F4715"/>
    <w:rsid w:val="00301729"/>
    <w:rsid w:val="00306B3C"/>
    <w:rsid w:val="003079D0"/>
    <w:rsid w:val="003129C1"/>
    <w:rsid w:val="003138A1"/>
    <w:rsid w:val="00313D39"/>
    <w:rsid w:val="00315F9D"/>
    <w:rsid w:val="00321ABB"/>
    <w:rsid w:val="00321D71"/>
    <w:rsid w:val="00323913"/>
    <w:rsid w:val="00324B45"/>
    <w:rsid w:val="0032732F"/>
    <w:rsid w:val="003273F9"/>
    <w:rsid w:val="00330028"/>
    <w:rsid w:val="00341166"/>
    <w:rsid w:val="00343A69"/>
    <w:rsid w:val="00343DA5"/>
    <w:rsid w:val="00345CE5"/>
    <w:rsid w:val="00345E23"/>
    <w:rsid w:val="003461F8"/>
    <w:rsid w:val="00347ECE"/>
    <w:rsid w:val="00351231"/>
    <w:rsid w:val="003518BF"/>
    <w:rsid w:val="003529F9"/>
    <w:rsid w:val="00353448"/>
    <w:rsid w:val="00357106"/>
    <w:rsid w:val="00360ECB"/>
    <w:rsid w:val="00364049"/>
    <w:rsid w:val="0036427A"/>
    <w:rsid w:val="003718D9"/>
    <w:rsid w:val="00374E07"/>
    <w:rsid w:val="003778B1"/>
    <w:rsid w:val="00390ED8"/>
    <w:rsid w:val="00392227"/>
    <w:rsid w:val="00394A42"/>
    <w:rsid w:val="00395678"/>
    <w:rsid w:val="00395C32"/>
    <w:rsid w:val="00395D98"/>
    <w:rsid w:val="003A122E"/>
    <w:rsid w:val="003A24B1"/>
    <w:rsid w:val="003A5FCE"/>
    <w:rsid w:val="003A67E8"/>
    <w:rsid w:val="003A79A4"/>
    <w:rsid w:val="003B136F"/>
    <w:rsid w:val="003B3676"/>
    <w:rsid w:val="003C2067"/>
    <w:rsid w:val="003C2662"/>
    <w:rsid w:val="003C6850"/>
    <w:rsid w:val="003C76FD"/>
    <w:rsid w:val="003D0C0E"/>
    <w:rsid w:val="003D0D58"/>
    <w:rsid w:val="003D1F2E"/>
    <w:rsid w:val="003D5081"/>
    <w:rsid w:val="003D740A"/>
    <w:rsid w:val="003E4446"/>
    <w:rsid w:val="003E51D8"/>
    <w:rsid w:val="003E777E"/>
    <w:rsid w:val="003F1747"/>
    <w:rsid w:val="003F6794"/>
    <w:rsid w:val="003F7749"/>
    <w:rsid w:val="00405DEF"/>
    <w:rsid w:val="00405FB1"/>
    <w:rsid w:val="00406F19"/>
    <w:rsid w:val="00411B44"/>
    <w:rsid w:val="00411D6C"/>
    <w:rsid w:val="004159CC"/>
    <w:rsid w:val="004178A2"/>
    <w:rsid w:val="00417D54"/>
    <w:rsid w:val="004339E1"/>
    <w:rsid w:val="00435E44"/>
    <w:rsid w:val="00440064"/>
    <w:rsid w:val="0044177B"/>
    <w:rsid w:val="004417BE"/>
    <w:rsid w:val="004435EE"/>
    <w:rsid w:val="00446A24"/>
    <w:rsid w:val="004474B5"/>
    <w:rsid w:val="00452615"/>
    <w:rsid w:val="00454906"/>
    <w:rsid w:val="00457CB1"/>
    <w:rsid w:val="00460037"/>
    <w:rsid w:val="004613D5"/>
    <w:rsid w:val="0046191D"/>
    <w:rsid w:val="0046421D"/>
    <w:rsid w:val="00465DD4"/>
    <w:rsid w:val="00477A45"/>
    <w:rsid w:val="00480B65"/>
    <w:rsid w:val="00485E14"/>
    <w:rsid w:val="00486C7B"/>
    <w:rsid w:val="0049193B"/>
    <w:rsid w:val="00492CCA"/>
    <w:rsid w:val="004942B7"/>
    <w:rsid w:val="004968F0"/>
    <w:rsid w:val="004971CF"/>
    <w:rsid w:val="004A0EDA"/>
    <w:rsid w:val="004A22C9"/>
    <w:rsid w:val="004A2B1C"/>
    <w:rsid w:val="004A34BA"/>
    <w:rsid w:val="004A76CC"/>
    <w:rsid w:val="004B41D3"/>
    <w:rsid w:val="004B5FDD"/>
    <w:rsid w:val="004B6AC1"/>
    <w:rsid w:val="004B73BD"/>
    <w:rsid w:val="004C03E1"/>
    <w:rsid w:val="004C0897"/>
    <w:rsid w:val="004C0B58"/>
    <w:rsid w:val="004C490E"/>
    <w:rsid w:val="004C7698"/>
    <w:rsid w:val="004C7835"/>
    <w:rsid w:val="004D0970"/>
    <w:rsid w:val="004E0369"/>
    <w:rsid w:val="004E2C7F"/>
    <w:rsid w:val="004E4046"/>
    <w:rsid w:val="004E4338"/>
    <w:rsid w:val="004E6172"/>
    <w:rsid w:val="004F0410"/>
    <w:rsid w:val="004F5149"/>
    <w:rsid w:val="005023DA"/>
    <w:rsid w:val="00502543"/>
    <w:rsid w:val="005035E7"/>
    <w:rsid w:val="0050669D"/>
    <w:rsid w:val="00507F4E"/>
    <w:rsid w:val="00510EA2"/>
    <w:rsid w:val="00521F7A"/>
    <w:rsid w:val="00522E23"/>
    <w:rsid w:val="00523C03"/>
    <w:rsid w:val="00524BA7"/>
    <w:rsid w:val="00525118"/>
    <w:rsid w:val="00525D1C"/>
    <w:rsid w:val="00537E37"/>
    <w:rsid w:val="00540D31"/>
    <w:rsid w:val="00541A44"/>
    <w:rsid w:val="00551165"/>
    <w:rsid w:val="0055306A"/>
    <w:rsid w:val="00555CAC"/>
    <w:rsid w:val="00556897"/>
    <w:rsid w:val="00561CEA"/>
    <w:rsid w:val="00563129"/>
    <w:rsid w:val="00563416"/>
    <w:rsid w:val="0056751C"/>
    <w:rsid w:val="005703E7"/>
    <w:rsid w:val="005704F6"/>
    <w:rsid w:val="00587456"/>
    <w:rsid w:val="00592FF3"/>
    <w:rsid w:val="005941D6"/>
    <w:rsid w:val="005A6134"/>
    <w:rsid w:val="005B63D4"/>
    <w:rsid w:val="005C3BB8"/>
    <w:rsid w:val="005D489B"/>
    <w:rsid w:val="005D5B54"/>
    <w:rsid w:val="005D5E63"/>
    <w:rsid w:val="005D7A9C"/>
    <w:rsid w:val="005E4B58"/>
    <w:rsid w:val="005E66FC"/>
    <w:rsid w:val="005E6E98"/>
    <w:rsid w:val="005F2561"/>
    <w:rsid w:val="005F7AB4"/>
    <w:rsid w:val="006021F3"/>
    <w:rsid w:val="0060451D"/>
    <w:rsid w:val="00604E98"/>
    <w:rsid w:val="00607D60"/>
    <w:rsid w:val="00611FF9"/>
    <w:rsid w:val="0061238C"/>
    <w:rsid w:val="0061628D"/>
    <w:rsid w:val="006235FF"/>
    <w:rsid w:val="006258D6"/>
    <w:rsid w:val="00627175"/>
    <w:rsid w:val="0063157A"/>
    <w:rsid w:val="00635FD2"/>
    <w:rsid w:val="006410EB"/>
    <w:rsid w:val="00641F46"/>
    <w:rsid w:val="00645731"/>
    <w:rsid w:val="006467D7"/>
    <w:rsid w:val="00650889"/>
    <w:rsid w:val="00661740"/>
    <w:rsid w:val="00661E15"/>
    <w:rsid w:val="00663294"/>
    <w:rsid w:val="00664049"/>
    <w:rsid w:val="00666C58"/>
    <w:rsid w:val="0067280A"/>
    <w:rsid w:val="0067349A"/>
    <w:rsid w:val="00675649"/>
    <w:rsid w:val="006767DE"/>
    <w:rsid w:val="00684518"/>
    <w:rsid w:val="00684CF2"/>
    <w:rsid w:val="0069297D"/>
    <w:rsid w:val="00693326"/>
    <w:rsid w:val="0069591B"/>
    <w:rsid w:val="00696314"/>
    <w:rsid w:val="006A092D"/>
    <w:rsid w:val="006A0E8F"/>
    <w:rsid w:val="006A0FF7"/>
    <w:rsid w:val="006A2DA1"/>
    <w:rsid w:val="006B0769"/>
    <w:rsid w:val="006C2080"/>
    <w:rsid w:val="006C44EF"/>
    <w:rsid w:val="006D2546"/>
    <w:rsid w:val="006D36F2"/>
    <w:rsid w:val="006D629D"/>
    <w:rsid w:val="006D63D9"/>
    <w:rsid w:val="006E15FA"/>
    <w:rsid w:val="006E2672"/>
    <w:rsid w:val="006F43C5"/>
    <w:rsid w:val="007039EF"/>
    <w:rsid w:val="007071D8"/>
    <w:rsid w:val="0071218E"/>
    <w:rsid w:val="00712BB5"/>
    <w:rsid w:val="00713885"/>
    <w:rsid w:val="00721D08"/>
    <w:rsid w:val="00723019"/>
    <w:rsid w:val="0072575C"/>
    <w:rsid w:val="00725DA5"/>
    <w:rsid w:val="00727163"/>
    <w:rsid w:val="00731928"/>
    <w:rsid w:val="007437B9"/>
    <w:rsid w:val="00753675"/>
    <w:rsid w:val="0075757C"/>
    <w:rsid w:val="00761ABC"/>
    <w:rsid w:val="00772576"/>
    <w:rsid w:val="00772FDB"/>
    <w:rsid w:val="00774999"/>
    <w:rsid w:val="007827FC"/>
    <w:rsid w:val="007843DE"/>
    <w:rsid w:val="00784B24"/>
    <w:rsid w:val="00786B1C"/>
    <w:rsid w:val="007873DE"/>
    <w:rsid w:val="00787558"/>
    <w:rsid w:val="007927D8"/>
    <w:rsid w:val="00792A50"/>
    <w:rsid w:val="0079416B"/>
    <w:rsid w:val="00797B7A"/>
    <w:rsid w:val="007A062A"/>
    <w:rsid w:val="007A1775"/>
    <w:rsid w:val="007A7F54"/>
    <w:rsid w:val="007B0204"/>
    <w:rsid w:val="007B2599"/>
    <w:rsid w:val="007B32E3"/>
    <w:rsid w:val="007B77EA"/>
    <w:rsid w:val="007C1ED8"/>
    <w:rsid w:val="007C561A"/>
    <w:rsid w:val="007D124C"/>
    <w:rsid w:val="007D3032"/>
    <w:rsid w:val="007D34EB"/>
    <w:rsid w:val="007D594A"/>
    <w:rsid w:val="007D7BB6"/>
    <w:rsid w:val="007E1603"/>
    <w:rsid w:val="007E6B4D"/>
    <w:rsid w:val="007E7263"/>
    <w:rsid w:val="007E7AF4"/>
    <w:rsid w:val="007E7EEB"/>
    <w:rsid w:val="007F093E"/>
    <w:rsid w:val="007F1DE0"/>
    <w:rsid w:val="007F3C0B"/>
    <w:rsid w:val="007F40A7"/>
    <w:rsid w:val="007F6E48"/>
    <w:rsid w:val="00800598"/>
    <w:rsid w:val="00803004"/>
    <w:rsid w:val="0080305A"/>
    <w:rsid w:val="00804931"/>
    <w:rsid w:val="00806F38"/>
    <w:rsid w:val="0081323A"/>
    <w:rsid w:val="0081566E"/>
    <w:rsid w:val="0081771A"/>
    <w:rsid w:val="008315E9"/>
    <w:rsid w:val="00833B4D"/>
    <w:rsid w:val="00834118"/>
    <w:rsid w:val="00834A60"/>
    <w:rsid w:val="008361D0"/>
    <w:rsid w:val="00837FC8"/>
    <w:rsid w:val="008451FD"/>
    <w:rsid w:val="00852657"/>
    <w:rsid w:val="00855BA0"/>
    <w:rsid w:val="00856089"/>
    <w:rsid w:val="00857B20"/>
    <w:rsid w:val="008633E5"/>
    <w:rsid w:val="0086452B"/>
    <w:rsid w:val="00864C77"/>
    <w:rsid w:val="00871ECD"/>
    <w:rsid w:val="0087285F"/>
    <w:rsid w:val="00872D65"/>
    <w:rsid w:val="0087689A"/>
    <w:rsid w:val="00877DD1"/>
    <w:rsid w:val="0088424D"/>
    <w:rsid w:val="008906FA"/>
    <w:rsid w:val="00891D80"/>
    <w:rsid w:val="00893473"/>
    <w:rsid w:val="00893CEB"/>
    <w:rsid w:val="00893DDA"/>
    <w:rsid w:val="0089461E"/>
    <w:rsid w:val="008978FA"/>
    <w:rsid w:val="008A38B9"/>
    <w:rsid w:val="008A59A4"/>
    <w:rsid w:val="008B75AE"/>
    <w:rsid w:val="008C002E"/>
    <w:rsid w:val="008C1B29"/>
    <w:rsid w:val="008C4DB1"/>
    <w:rsid w:val="008C6438"/>
    <w:rsid w:val="008D0BF2"/>
    <w:rsid w:val="008D4857"/>
    <w:rsid w:val="008D502B"/>
    <w:rsid w:val="008E07CF"/>
    <w:rsid w:val="008F5800"/>
    <w:rsid w:val="00902617"/>
    <w:rsid w:val="009062A0"/>
    <w:rsid w:val="00906BC5"/>
    <w:rsid w:val="00911E59"/>
    <w:rsid w:val="00911FA6"/>
    <w:rsid w:val="009126E5"/>
    <w:rsid w:val="00913268"/>
    <w:rsid w:val="009135FC"/>
    <w:rsid w:val="00915180"/>
    <w:rsid w:val="00915D02"/>
    <w:rsid w:val="009229CD"/>
    <w:rsid w:val="009244F7"/>
    <w:rsid w:val="009300D7"/>
    <w:rsid w:val="009311B3"/>
    <w:rsid w:val="00931E9C"/>
    <w:rsid w:val="009427D8"/>
    <w:rsid w:val="00947FDB"/>
    <w:rsid w:val="00950476"/>
    <w:rsid w:val="009516FB"/>
    <w:rsid w:val="00955F35"/>
    <w:rsid w:val="009562CC"/>
    <w:rsid w:val="00960925"/>
    <w:rsid w:val="0096264C"/>
    <w:rsid w:val="009628F1"/>
    <w:rsid w:val="009742FE"/>
    <w:rsid w:val="009815F0"/>
    <w:rsid w:val="0098214B"/>
    <w:rsid w:val="0098295D"/>
    <w:rsid w:val="00982F40"/>
    <w:rsid w:val="009947FB"/>
    <w:rsid w:val="009976B8"/>
    <w:rsid w:val="009A3E57"/>
    <w:rsid w:val="009A61A9"/>
    <w:rsid w:val="009B0477"/>
    <w:rsid w:val="009B4BF5"/>
    <w:rsid w:val="009B772C"/>
    <w:rsid w:val="009C4373"/>
    <w:rsid w:val="009D087C"/>
    <w:rsid w:val="009D0959"/>
    <w:rsid w:val="009D2715"/>
    <w:rsid w:val="009D5A1F"/>
    <w:rsid w:val="009E3786"/>
    <w:rsid w:val="009E7AA7"/>
    <w:rsid w:val="009F412C"/>
    <w:rsid w:val="009F5AA1"/>
    <w:rsid w:val="009F6E13"/>
    <w:rsid w:val="009F754F"/>
    <w:rsid w:val="00A04FA6"/>
    <w:rsid w:val="00A0537E"/>
    <w:rsid w:val="00A0631E"/>
    <w:rsid w:val="00A07DE8"/>
    <w:rsid w:val="00A11DD6"/>
    <w:rsid w:val="00A1405C"/>
    <w:rsid w:val="00A17CDD"/>
    <w:rsid w:val="00A22A0D"/>
    <w:rsid w:val="00A24F49"/>
    <w:rsid w:val="00A26606"/>
    <w:rsid w:val="00A3226F"/>
    <w:rsid w:val="00A3496A"/>
    <w:rsid w:val="00A3696D"/>
    <w:rsid w:val="00A3776A"/>
    <w:rsid w:val="00A414F8"/>
    <w:rsid w:val="00A44CB1"/>
    <w:rsid w:val="00A44F17"/>
    <w:rsid w:val="00A453BB"/>
    <w:rsid w:val="00A45661"/>
    <w:rsid w:val="00A46C85"/>
    <w:rsid w:val="00A47A0B"/>
    <w:rsid w:val="00A51953"/>
    <w:rsid w:val="00A53850"/>
    <w:rsid w:val="00A54DD0"/>
    <w:rsid w:val="00A54FFC"/>
    <w:rsid w:val="00A55B5E"/>
    <w:rsid w:val="00A56A73"/>
    <w:rsid w:val="00A632A0"/>
    <w:rsid w:val="00A7431B"/>
    <w:rsid w:val="00A76CA3"/>
    <w:rsid w:val="00A808D3"/>
    <w:rsid w:val="00A81E94"/>
    <w:rsid w:val="00A81F67"/>
    <w:rsid w:val="00A82F34"/>
    <w:rsid w:val="00A8376C"/>
    <w:rsid w:val="00A85B2A"/>
    <w:rsid w:val="00A91CEC"/>
    <w:rsid w:val="00A9423D"/>
    <w:rsid w:val="00A94F09"/>
    <w:rsid w:val="00A976C5"/>
    <w:rsid w:val="00AA4980"/>
    <w:rsid w:val="00AA547C"/>
    <w:rsid w:val="00AB1C79"/>
    <w:rsid w:val="00AB5F39"/>
    <w:rsid w:val="00AB6BBD"/>
    <w:rsid w:val="00AB6DD6"/>
    <w:rsid w:val="00AC046B"/>
    <w:rsid w:val="00AC7B7C"/>
    <w:rsid w:val="00AD0619"/>
    <w:rsid w:val="00AD2762"/>
    <w:rsid w:val="00AD39D5"/>
    <w:rsid w:val="00AD4586"/>
    <w:rsid w:val="00AD538D"/>
    <w:rsid w:val="00AE35F5"/>
    <w:rsid w:val="00AE691D"/>
    <w:rsid w:val="00AF0AD6"/>
    <w:rsid w:val="00AF17B4"/>
    <w:rsid w:val="00AF2563"/>
    <w:rsid w:val="00AF3474"/>
    <w:rsid w:val="00AF3655"/>
    <w:rsid w:val="00AF4CB2"/>
    <w:rsid w:val="00AF6D53"/>
    <w:rsid w:val="00B00DA8"/>
    <w:rsid w:val="00B1336A"/>
    <w:rsid w:val="00B13FC0"/>
    <w:rsid w:val="00B1427F"/>
    <w:rsid w:val="00B1460C"/>
    <w:rsid w:val="00B21225"/>
    <w:rsid w:val="00B21EE2"/>
    <w:rsid w:val="00B24224"/>
    <w:rsid w:val="00B30330"/>
    <w:rsid w:val="00B32525"/>
    <w:rsid w:val="00B33581"/>
    <w:rsid w:val="00B35B3E"/>
    <w:rsid w:val="00B428D7"/>
    <w:rsid w:val="00B42EF3"/>
    <w:rsid w:val="00B5020E"/>
    <w:rsid w:val="00B532BC"/>
    <w:rsid w:val="00B54CB5"/>
    <w:rsid w:val="00B56579"/>
    <w:rsid w:val="00B61179"/>
    <w:rsid w:val="00B62A47"/>
    <w:rsid w:val="00B62A97"/>
    <w:rsid w:val="00B65022"/>
    <w:rsid w:val="00B6555F"/>
    <w:rsid w:val="00B6578F"/>
    <w:rsid w:val="00B67C46"/>
    <w:rsid w:val="00B70605"/>
    <w:rsid w:val="00B75D01"/>
    <w:rsid w:val="00B77557"/>
    <w:rsid w:val="00B80FC2"/>
    <w:rsid w:val="00B841FD"/>
    <w:rsid w:val="00B8696D"/>
    <w:rsid w:val="00B90075"/>
    <w:rsid w:val="00B946FF"/>
    <w:rsid w:val="00B953B2"/>
    <w:rsid w:val="00BA4567"/>
    <w:rsid w:val="00BB7E5B"/>
    <w:rsid w:val="00BC1E1A"/>
    <w:rsid w:val="00BC200E"/>
    <w:rsid w:val="00BC2D63"/>
    <w:rsid w:val="00BC332C"/>
    <w:rsid w:val="00BC62E0"/>
    <w:rsid w:val="00BD02DA"/>
    <w:rsid w:val="00BD2288"/>
    <w:rsid w:val="00BD362D"/>
    <w:rsid w:val="00BE1425"/>
    <w:rsid w:val="00BE174D"/>
    <w:rsid w:val="00BE1BFE"/>
    <w:rsid w:val="00BE5902"/>
    <w:rsid w:val="00BF250D"/>
    <w:rsid w:val="00BF275F"/>
    <w:rsid w:val="00BF63CB"/>
    <w:rsid w:val="00C03225"/>
    <w:rsid w:val="00C0573E"/>
    <w:rsid w:val="00C0594F"/>
    <w:rsid w:val="00C07105"/>
    <w:rsid w:val="00C14228"/>
    <w:rsid w:val="00C16659"/>
    <w:rsid w:val="00C248F0"/>
    <w:rsid w:val="00C2491E"/>
    <w:rsid w:val="00C250BC"/>
    <w:rsid w:val="00C27BAC"/>
    <w:rsid w:val="00C329DE"/>
    <w:rsid w:val="00C360F3"/>
    <w:rsid w:val="00C462C0"/>
    <w:rsid w:val="00C501D7"/>
    <w:rsid w:val="00C50F6B"/>
    <w:rsid w:val="00C5196E"/>
    <w:rsid w:val="00C53E03"/>
    <w:rsid w:val="00C5602C"/>
    <w:rsid w:val="00C5615D"/>
    <w:rsid w:val="00C57030"/>
    <w:rsid w:val="00C61556"/>
    <w:rsid w:val="00C620D6"/>
    <w:rsid w:val="00C66DAA"/>
    <w:rsid w:val="00C7141B"/>
    <w:rsid w:val="00C80F48"/>
    <w:rsid w:val="00C8378A"/>
    <w:rsid w:val="00C857F4"/>
    <w:rsid w:val="00C85DDA"/>
    <w:rsid w:val="00C904BA"/>
    <w:rsid w:val="00C97402"/>
    <w:rsid w:val="00CA48B9"/>
    <w:rsid w:val="00CB326B"/>
    <w:rsid w:val="00CB45C2"/>
    <w:rsid w:val="00CB50D1"/>
    <w:rsid w:val="00CB51F5"/>
    <w:rsid w:val="00CB61BD"/>
    <w:rsid w:val="00CB75E0"/>
    <w:rsid w:val="00CB7641"/>
    <w:rsid w:val="00CC5298"/>
    <w:rsid w:val="00CC7816"/>
    <w:rsid w:val="00CC7B5A"/>
    <w:rsid w:val="00CD034F"/>
    <w:rsid w:val="00CE0546"/>
    <w:rsid w:val="00CE1687"/>
    <w:rsid w:val="00CE3A43"/>
    <w:rsid w:val="00CE74F9"/>
    <w:rsid w:val="00CF362E"/>
    <w:rsid w:val="00CF3A14"/>
    <w:rsid w:val="00D02E7B"/>
    <w:rsid w:val="00D04A5E"/>
    <w:rsid w:val="00D053F0"/>
    <w:rsid w:val="00D12BAE"/>
    <w:rsid w:val="00D130A5"/>
    <w:rsid w:val="00D1365A"/>
    <w:rsid w:val="00D15CD8"/>
    <w:rsid w:val="00D161ED"/>
    <w:rsid w:val="00D176C9"/>
    <w:rsid w:val="00D21C2F"/>
    <w:rsid w:val="00D22D67"/>
    <w:rsid w:val="00D231D3"/>
    <w:rsid w:val="00D2348C"/>
    <w:rsid w:val="00D23E31"/>
    <w:rsid w:val="00D26341"/>
    <w:rsid w:val="00D26F54"/>
    <w:rsid w:val="00D32459"/>
    <w:rsid w:val="00D37D90"/>
    <w:rsid w:val="00D4056A"/>
    <w:rsid w:val="00D409D3"/>
    <w:rsid w:val="00D47787"/>
    <w:rsid w:val="00D47DF2"/>
    <w:rsid w:val="00D47E7B"/>
    <w:rsid w:val="00D52352"/>
    <w:rsid w:val="00D55BD7"/>
    <w:rsid w:val="00D57EB5"/>
    <w:rsid w:val="00D6040D"/>
    <w:rsid w:val="00D61684"/>
    <w:rsid w:val="00D64B02"/>
    <w:rsid w:val="00D64BE4"/>
    <w:rsid w:val="00D70B35"/>
    <w:rsid w:val="00D71266"/>
    <w:rsid w:val="00D7284F"/>
    <w:rsid w:val="00D729A7"/>
    <w:rsid w:val="00D73B36"/>
    <w:rsid w:val="00D76355"/>
    <w:rsid w:val="00D81455"/>
    <w:rsid w:val="00D821C5"/>
    <w:rsid w:val="00D82886"/>
    <w:rsid w:val="00D85C85"/>
    <w:rsid w:val="00D87587"/>
    <w:rsid w:val="00D879F9"/>
    <w:rsid w:val="00D92EC9"/>
    <w:rsid w:val="00D97D4F"/>
    <w:rsid w:val="00DA7305"/>
    <w:rsid w:val="00DA7F20"/>
    <w:rsid w:val="00DB649A"/>
    <w:rsid w:val="00DB7DDC"/>
    <w:rsid w:val="00DC0A8E"/>
    <w:rsid w:val="00DC19FA"/>
    <w:rsid w:val="00DC2F3D"/>
    <w:rsid w:val="00DC514B"/>
    <w:rsid w:val="00DC5236"/>
    <w:rsid w:val="00DC7B99"/>
    <w:rsid w:val="00DD62B8"/>
    <w:rsid w:val="00DD7AAF"/>
    <w:rsid w:val="00DE209B"/>
    <w:rsid w:val="00DE23AA"/>
    <w:rsid w:val="00DE40D1"/>
    <w:rsid w:val="00DF1C76"/>
    <w:rsid w:val="00DF3EFE"/>
    <w:rsid w:val="00DF4B25"/>
    <w:rsid w:val="00E02181"/>
    <w:rsid w:val="00E0297A"/>
    <w:rsid w:val="00E0692A"/>
    <w:rsid w:val="00E06C61"/>
    <w:rsid w:val="00E077D7"/>
    <w:rsid w:val="00E106C1"/>
    <w:rsid w:val="00E137DD"/>
    <w:rsid w:val="00E13B5E"/>
    <w:rsid w:val="00E1534E"/>
    <w:rsid w:val="00E16D52"/>
    <w:rsid w:val="00E1780A"/>
    <w:rsid w:val="00E223A0"/>
    <w:rsid w:val="00E23661"/>
    <w:rsid w:val="00E240FC"/>
    <w:rsid w:val="00E34339"/>
    <w:rsid w:val="00E351A2"/>
    <w:rsid w:val="00E37B1A"/>
    <w:rsid w:val="00E40FE0"/>
    <w:rsid w:val="00E4737F"/>
    <w:rsid w:val="00E506C6"/>
    <w:rsid w:val="00E5151F"/>
    <w:rsid w:val="00E523F6"/>
    <w:rsid w:val="00E52966"/>
    <w:rsid w:val="00E542F3"/>
    <w:rsid w:val="00E54357"/>
    <w:rsid w:val="00E55968"/>
    <w:rsid w:val="00E56B1A"/>
    <w:rsid w:val="00E601F7"/>
    <w:rsid w:val="00E6614B"/>
    <w:rsid w:val="00E728F2"/>
    <w:rsid w:val="00E73587"/>
    <w:rsid w:val="00E75AA8"/>
    <w:rsid w:val="00E762ED"/>
    <w:rsid w:val="00E77726"/>
    <w:rsid w:val="00E915B6"/>
    <w:rsid w:val="00E93038"/>
    <w:rsid w:val="00E93E0F"/>
    <w:rsid w:val="00E94B61"/>
    <w:rsid w:val="00E96756"/>
    <w:rsid w:val="00E973AE"/>
    <w:rsid w:val="00EA48FD"/>
    <w:rsid w:val="00EA61A8"/>
    <w:rsid w:val="00EA761D"/>
    <w:rsid w:val="00EB13CB"/>
    <w:rsid w:val="00EB2D98"/>
    <w:rsid w:val="00EB6E57"/>
    <w:rsid w:val="00EC259B"/>
    <w:rsid w:val="00ED2DD1"/>
    <w:rsid w:val="00ED7D2D"/>
    <w:rsid w:val="00EE41E1"/>
    <w:rsid w:val="00EE5AB4"/>
    <w:rsid w:val="00EE61F0"/>
    <w:rsid w:val="00EF011A"/>
    <w:rsid w:val="00EF204A"/>
    <w:rsid w:val="00EF7098"/>
    <w:rsid w:val="00F02136"/>
    <w:rsid w:val="00F04B03"/>
    <w:rsid w:val="00F156FE"/>
    <w:rsid w:val="00F16303"/>
    <w:rsid w:val="00F236DA"/>
    <w:rsid w:val="00F23F68"/>
    <w:rsid w:val="00F31C23"/>
    <w:rsid w:val="00F325C5"/>
    <w:rsid w:val="00F32F18"/>
    <w:rsid w:val="00F34C5A"/>
    <w:rsid w:val="00F43550"/>
    <w:rsid w:val="00F43BBA"/>
    <w:rsid w:val="00F4604F"/>
    <w:rsid w:val="00F46C29"/>
    <w:rsid w:val="00F5057C"/>
    <w:rsid w:val="00F52E4B"/>
    <w:rsid w:val="00F55D5F"/>
    <w:rsid w:val="00F5731F"/>
    <w:rsid w:val="00F603A9"/>
    <w:rsid w:val="00F62B9A"/>
    <w:rsid w:val="00F64A67"/>
    <w:rsid w:val="00F662B2"/>
    <w:rsid w:val="00F7227A"/>
    <w:rsid w:val="00F821A3"/>
    <w:rsid w:val="00F836E1"/>
    <w:rsid w:val="00F83AA0"/>
    <w:rsid w:val="00F852E9"/>
    <w:rsid w:val="00F8551C"/>
    <w:rsid w:val="00F90466"/>
    <w:rsid w:val="00F924A3"/>
    <w:rsid w:val="00F92606"/>
    <w:rsid w:val="00F947CB"/>
    <w:rsid w:val="00F97AD9"/>
    <w:rsid w:val="00FA0107"/>
    <w:rsid w:val="00FA21C0"/>
    <w:rsid w:val="00FA4C5E"/>
    <w:rsid w:val="00FB18E2"/>
    <w:rsid w:val="00FB2B1A"/>
    <w:rsid w:val="00FB3A6F"/>
    <w:rsid w:val="00FC16C5"/>
    <w:rsid w:val="00FC280B"/>
    <w:rsid w:val="00FC4075"/>
    <w:rsid w:val="00FC7018"/>
    <w:rsid w:val="00FD3F46"/>
    <w:rsid w:val="00FD50A6"/>
    <w:rsid w:val="00FD6E75"/>
    <w:rsid w:val="00FD71B1"/>
    <w:rsid w:val="00FD7717"/>
    <w:rsid w:val="00FE1649"/>
    <w:rsid w:val="00FE5841"/>
    <w:rsid w:val="00FE7170"/>
    <w:rsid w:val="00FF2315"/>
    <w:rsid w:val="00FF2EE2"/>
    <w:rsid w:val="00FF3419"/>
    <w:rsid w:val="00FF439D"/>
    <w:rsid w:val="00FF779E"/>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24"/>
    <w:rPr>
      <w:rFonts w:ascii="Arial" w:hAnsi="Arial"/>
      <w:sz w:val="24"/>
      <w:szCs w:val="24"/>
    </w:rPr>
  </w:style>
  <w:style w:type="paragraph" w:styleId="Heading1">
    <w:name w:val="heading 1"/>
    <w:basedOn w:val="Normal"/>
    <w:next w:val="Normal"/>
    <w:link w:val="Heading1Char"/>
    <w:uiPriority w:val="9"/>
    <w:qFormat/>
    <w:rsid w:val="00784B2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84B2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84B24"/>
    <w:pPr>
      <w:outlineLvl w:val="2"/>
    </w:pPr>
    <w:rPr>
      <w:rFonts w:cs="Arial"/>
      <w:i w:val="0"/>
    </w:rPr>
  </w:style>
  <w:style w:type="paragraph" w:styleId="Heading4">
    <w:name w:val="heading 4"/>
    <w:basedOn w:val="Normal"/>
    <w:next w:val="Normal"/>
    <w:link w:val="Heading4Char"/>
    <w:uiPriority w:val="9"/>
    <w:unhideWhenUsed/>
    <w:qFormat/>
    <w:rsid w:val="00784B2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84B2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84B2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84B2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84B2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84B2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84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4B24"/>
  </w:style>
  <w:style w:type="character" w:customStyle="1" w:styleId="Heading1Char">
    <w:name w:val="Heading 1 Char"/>
    <w:basedOn w:val="DefaultParagraphFont"/>
    <w:link w:val="Heading1"/>
    <w:uiPriority w:val="9"/>
    <w:rsid w:val="00784B24"/>
    <w:rPr>
      <w:rFonts w:ascii="Arial" w:eastAsiaTheme="majorEastAsia" w:hAnsi="Arial" w:cstheme="majorBidi"/>
      <w:sz w:val="40"/>
    </w:rPr>
  </w:style>
  <w:style w:type="character" w:customStyle="1" w:styleId="Heading2Char">
    <w:name w:val="Heading 2 Char"/>
    <w:basedOn w:val="DefaultParagraphFont"/>
    <w:link w:val="Heading2"/>
    <w:uiPriority w:val="9"/>
    <w:rsid w:val="00784B2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84B2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84B2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84B2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84B2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84B2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84B2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84B24"/>
    <w:rPr>
      <w:rFonts w:ascii="Arial" w:eastAsiaTheme="majorEastAsia" w:hAnsi="Arial" w:cstheme="majorBidi"/>
      <w:i/>
      <w:iCs/>
      <w:sz w:val="24"/>
    </w:rPr>
  </w:style>
  <w:style w:type="paragraph" w:styleId="Title">
    <w:name w:val="Title"/>
    <w:basedOn w:val="Normal"/>
    <w:next w:val="Normal"/>
    <w:link w:val="TitleChar"/>
    <w:uiPriority w:val="9"/>
    <w:qFormat/>
    <w:rsid w:val="00784B2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84B2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84B2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84B24"/>
    <w:rPr>
      <w:rFonts w:ascii="Arial" w:eastAsiaTheme="majorEastAsia" w:hAnsi="Arial" w:cstheme="majorBidi"/>
      <w:i/>
      <w:iCs/>
      <w:spacing w:val="15"/>
      <w:sz w:val="24"/>
      <w:szCs w:val="24"/>
    </w:rPr>
  </w:style>
  <w:style w:type="character" w:styleId="Strong">
    <w:name w:val="Strong"/>
    <w:basedOn w:val="DefaultParagraphFont"/>
    <w:uiPriority w:val="22"/>
    <w:qFormat/>
    <w:rsid w:val="00784B24"/>
    <w:rPr>
      <w:rFonts w:ascii="Arial" w:hAnsi="Arial"/>
      <w:b/>
      <w:bCs/>
    </w:rPr>
  </w:style>
  <w:style w:type="character" w:styleId="Emphasis">
    <w:name w:val="Emphasis"/>
    <w:basedOn w:val="DefaultParagraphFont"/>
    <w:uiPriority w:val="20"/>
    <w:qFormat/>
    <w:rsid w:val="00784B24"/>
    <w:rPr>
      <w:rFonts w:ascii="Arial" w:hAnsi="Arial"/>
      <w:i/>
      <w:iCs/>
    </w:rPr>
  </w:style>
  <w:style w:type="paragraph" w:styleId="NoSpacing">
    <w:name w:val="No Spacing"/>
    <w:uiPriority w:val="1"/>
    <w:qFormat/>
    <w:rsid w:val="00784B24"/>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84B24"/>
    <w:pPr>
      <w:ind w:left="720"/>
      <w:contextualSpacing/>
    </w:pPr>
  </w:style>
  <w:style w:type="paragraph" w:styleId="Quote">
    <w:name w:val="Quote"/>
    <w:basedOn w:val="Normal"/>
    <w:next w:val="Normal"/>
    <w:link w:val="QuoteChar"/>
    <w:uiPriority w:val="29"/>
    <w:qFormat/>
    <w:rsid w:val="00784B24"/>
    <w:rPr>
      <w:i/>
      <w:iCs/>
      <w:color w:val="000000" w:themeColor="text1"/>
    </w:rPr>
  </w:style>
  <w:style w:type="character" w:customStyle="1" w:styleId="QuoteChar">
    <w:name w:val="Quote Char"/>
    <w:basedOn w:val="DefaultParagraphFont"/>
    <w:link w:val="Quote"/>
    <w:uiPriority w:val="29"/>
    <w:rsid w:val="00784B2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84B2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84B24"/>
    <w:rPr>
      <w:rFonts w:ascii="Arial" w:hAnsi="Arial"/>
      <w:b/>
      <w:bCs/>
      <w:i/>
      <w:iCs/>
      <w:sz w:val="24"/>
      <w:szCs w:val="24"/>
    </w:rPr>
  </w:style>
  <w:style w:type="character" w:styleId="SubtleEmphasis">
    <w:name w:val="Subtle Emphasis"/>
    <w:basedOn w:val="DefaultParagraphFont"/>
    <w:uiPriority w:val="19"/>
    <w:qFormat/>
    <w:rsid w:val="00784B24"/>
    <w:rPr>
      <w:rFonts w:ascii="Arial" w:hAnsi="Arial"/>
      <w:i/>
      <w:iCs/>
      <w:color w:val="808080" w:themeColor="text1" w:themeTint="7F"/>
    </w:rPr>
  </w:style>
  <w:style w:type="character" w:styleId="IntenseEmphasis">
    <w:name w:val="Intense Emphasis"/>
    <w:basedOn w:val="DefaultParagraphFont"/>
    <w:uiPriority w:val="21"/>
    <w:qFormat/>
    <w:rsid w:val="00784B24"/>
    <w:rPr>
      <w:rFonts w:ascii="Arial" w:hAnsi="Arial"/>
      <w:b/>
      <w:bCs/>
    </w:rPr>
  </w:style>
  <w:style w:type="character" w:styleId="SubtleReference">
    <w:name w:val="Subtle Reference"/>
    <w:basedOn w:val="DefaultParagraphFont"/>
    <w:uiPriority w:val="31"/>
    <w:qFormat/>
    <w:rsid w:val="00784B24"/>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784B24"/>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1"/>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2"/>
      </w:numPr>
    </w:pPr>
  </w:style>
  <w:style w:type="paragraph" w:customStyle="1" w:styleId="Level1">
    <w:name w:val="Level 1"/>
    <w:basedOn w:val="ListParagraph"/>
    <w:link w:val="Level1Char"/>
    <w:qFormat/>
    <w:rsid w:val="00FE5841"/>
    <w:pPr>
      <w:numPr>
        <w:numId w:val="10"/>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7"/>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sz w:val="24"/>
      <w:szCs w:val="24"/>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3"/>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Arial" w:hAnsi="Arial"/>
      <w:sz w:val="24"/>
      <w:szCs w:val="24"/>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784B24"/>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6"/>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4"/>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0447BA"/>
    <w:pPr>
      <w:numPr>
        <w:numId w:val="5"/>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8"/>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9"/>
      </w:numPr>
      <w:spacing w:after="0"/>
    </w:pPr>
    <w:rPr>
      <w:bCs/>
    </w:rPr>
  </w:style>
  <w:style w:type="character" w:customStyle="1" w:styleId="subheading2Char">
    <w:name w:val="subheading2 Char"/>
    <w:basedOn w:val="DefaultParagraphFont"/>
    <w:link w:val="subheading2"/>
    <w:rsid w:val="00E77726"/>
    <w:rPr>
      <w:rFonts w:ascii="Arial" w:hAnsi="Arial"/>
      <w:bCs/>
      <w:sz w:val="24"/>
      <w:szCs w:val="24"/>
    </w:rPr>
  </w:style>
  <w:style w:type="character" w:styleId="IntenseReference">
    <w:name w:val="Intense Reference"/>
    <w:basedOn w:val="DefaultParagraphFont"/>
    <w:uiPriority w:val="32"/>
    <w:qFormat/>
    <w:rsid w:val="00784B24"/>
    <w:rPr>
      <w:b/>
      <w:bCs/>
      <w:smallCaps/>
      <w:color w:val="C0504D" w:themeColor="accent2"/>
      <w:spacing w:val="5"/>
      <w:u w:val="single"/>
    </w:rPr>
  </w:style>
  <w:style w:type="character" w:styleId="BookTitle">
    <w:name w:val="Book Title"/>
    <w:basedOn w:val="DefaultParagraphFont"/>
    <w:uiPriority w:val="33"/>
    <w:qFormat/>
    <w:rsid w:val="00784B24"/>
    <w:rPr>
      <w:b/>
      <w:bCs/>
      <w:smallCaps/>
      <w:spacing w:val="5"/>
    </w:rPr>
  </w:style>
  <w:style w:type="paragraph" w:customStyle="1" w:styleId="AppleFill">
    <w:name w:val="Apple Fill"/>
    <w:basedOn w:val="Normal"/>
    <w:link w:val="AppleFillChar"/>
    <w:uiPriority w:val="10"/>
    <w:qFormat/>
    <w:rsid w:val="00784B24"/>
    <w:rPr>
      <w:b/>
      <w:color w:val="FFFFFF" w:themeColor="background1"/>
      <w:shd w:val="clear" w:color="auto" w:fill="9BBB59" w:themeFill="accent3"/>
    </w:rPr>
  </w:style>
  <w:style w:type="paragraph" w:customStyle="1" w:styleId="AquaFill">
    <w:name w:val="Aqua Fill"/>
    <w:basedOn w:val="Normal"/>
    <w:link w:val="AquaFillChar"/>
    <w:uiPriority w:val="10"/>
    <w:qFormat/>
    <w:rsid w:val="00784B2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84B24"/>
    <w:rPr>
      <w:rFonts w:ascii="Arial" w:hAnsi="Arial"/>
      <w:b/>
      <w:color w:val="FFFFFF" w:themeColor="background1"/>
      <w:sz w:val="24"/>
      <w:szCs w:val="24"/>
    </w:rPr>
  </w:style>
  <w:style w:type="paragraph" w:customStyle="1" w:styleId="WineFill">
    <w:name w:val="Wine Fill"/>
    <w:basedOn w:val="Normal"/>
    <w:link w:val="WineFillChar"/>
    <w:uiPriority w:val="9"/>
    <w:qFormat/>
    <w:rsid w:val="00784B2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84B2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84B24"/>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unhideWhenUsed/>
    <w:rsid w:val="00D0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3C037E"/>
    <w:rsid w:val="00415C03"/>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GC_120504541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[2022-10-27 Committee of the Whole [11347]]</meetingId>
    <capitalProjectPriority xmlns="e6cd7bd4-3f3e-4495-b8c9-139289cd76e6" xsi:nil="true"/>
    <policyApprovalDate xmlns="e6cd7bd4-3f3e-4495-b8c9-139289cd76e6" xsi:nil="true"/>
    <NodeRef xmlns="e6cd7bd4-3f3e-4495-b8c9-139289cd76e6">7ed75b65-f7ad-4d5a-90a7-b90be31bd4d0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51FE6B6F-CAC0-451A-8A81-2D532B3352D7}"/>
</file>

<file path=customXml/itemProps2.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3.xml><?xml version="1.0" encoding="utf-8"?>
<ds:datastoreItem xmlns:ds="http://schemas.openxmlformats.org/officeDocument/2006/customXml" ds:itemID="{C034D79F-4746-4088-9501-C74242836C27}">
  <ds:schemaRefs>
    <ds:schemaRef ds:uri="9e0655d3-2de9-420f-a513-3f5c522f8a4c"/>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5e0bac25-66ac-4bb1-b391-4c16a8864d9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5.xml><?xml version="1.0" encoding="utf-8"?>
<ds:datastoreItem xmlns:ds="http://schemas.openxmlformats.org/officeDocument/2006/customXml" ds:itemID="{CC2F368F-329C-4D8A-BA2B-B1D7A0DF9A91}"/>
</file>

<file path=docProps/app.xml><?xml version="1.0" encoding="utf-8"?>
<Properties xmlns="http://schemas.openxmlformats.org/officeDocument/2006/extended-properties" xmlns:vt="http://schemas.openxmlformats.org/officeDocument/2006/docPropsVTypes">
  <Template>Normal</Template>
  <TotalTime>1935</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Legal Services Update</vt:lpstr>
    </vt:vector>
  </TitlesOfParts>
  <Company>County of Grey</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Update</dc:title>
  <dc:creator>Elder, Nancy</dc:creator>
  <cp:lastModifiedBy>Sarah Goldrup</cp:lastModifiedBy>
  <cp:revision>213</cp:revision>
  <cp:lastPrinted>2014-04-01T13:48:00Z</cp:lastPrinted>
  <dcterms:created xsi:type="dcterms:W3CDTF">2021-09-08T13:33:00Z</dcterms:created>
  <dcterms:modified xsi:type="dcterms:W3CDTF">2022-12-14T16:14:00Z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