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66E7A" w14:textId="6D7F27B8" w:rsidR="00A3226F" w:rsidRPr="009A61A9" w:rsidRDefault="00100AA2" w:rsidP="00A3226F">
      <w:pPr>
        <w:pStyle w:val="Title"/>
      </w:pPr>
      <w:r>
        <w:rPr>
          <w:noProof/>
        </w:rPr>
        <w:drawing>
          <wp:inline distT="0" distB="0" distL="0" distR="0" wp14:anchorId="2518B0D2" wp14:editId="78F8C35C">
            <wp:extent cx="1975104" cy="762048"/>
            <wp:effectExtent l="0" t="0" r="6350" b="0"/>
            <wp:docPr id="4" name="Picture 4"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_cmyk_wine.jpg"/>
                    <pic:cNvPicPr/>
                  </pic:nvPicPr>
                  <pic:blipFill>
                    <a:blip r:embed="rId11">
                      <a:extLst>
                        <a:ext uri="{28A0092B-C50C-407E-A947-70E740481C1C}">
                          <a14:useLocalDpi xmlns:a14="http://schemas.microsoft.com/office/drawing/2010/main" val="0"/>
                        </a:ext>
                      </a:extLst>
                    </a:blip>
                    <a:stretch>
                      <a:fillRect/>
                    </a:stretch>
                  </pic:blipFill>
                  <pic:spPr>
                    <a:xfrm>
                      <a:off x="0" y="0"/>
                      <a:ext cx="1975104" cy="762048"/>
                    </a:xfrm>
                    <a:prstGeom prst="rect">
                      <a:avLst/>
                    </a:prstGeom>
                  </pic:spPr>
                </pic:pic>
              </a:graphicData>
            </a:graphic>
          </wp:inline>
        </w:drawing>
      </w:r>
      <w:r w:rsidR="00A3226F">
        <w:tab/>
      </w:r>
      <w:r w:rsidR="007827FC">
        <w:t>Committee Report</w:t>
      </w:r>
    </w:p>
    <w:tbl>
      <w:tblPr>
        <w:tblStyle w:val="TableGrid"/>
        <w:tblW w:w="0" w:type="auto"/>
        <w:tblLook w:val="04A0" w:firstRow="1" w:lastRow="0" w:firstColumn="1" w:lastColumn="0" w:noHBand="0" w:noVBand="1"/>
      </w:tblPr>
      <w:tblGrid>
        <w:gridCol w:w="3024"/>
        <w:gridCol w:w="6326"/>
      </w:tblGrid>
      <w:tr w:rsidR="009C4373" w14:paraId="26787A71" w14:textId="77777777" w:rsidTr="00893CEB">
        <w:tc>
          <w:tcPr>
            <w:tcW w:w="3024" w:type="dxa"/>
          </w:tcPr>
          <w:p w14:paraId="31D3BA31" w14:textId="77777777" w:rsidR="009C4373" w:rsidRDefault="009C4373" w:rsidP="00760C9B">
            <w:pPr>
              <w:spacing w:before="60" w:after="60"/>
            </w:pPr>
            <w:r w:rsidRPr="00860D2A">
              <w:rPr>
                <w:b/>
                <w:bCs/>
              </w:rPr>
              <w:t>To</w:t>
            </w:r>
            <w:r>
              <w:t>:</w:t>
            </w:r>
          </w:p>
        </w:tc>
        <w:tc>
          <w:tcPr>
            <w:tcW w:w="6326" w:type="dxa"/>
          </w:tcPr>
          <w:p w14:paraId="229AC4B1" w14:textId="2F658615" w:rsidR="009C4373" w:rsidRDefault="009C4373" w:rsidP="00760C9B">
            <w:pPr>
              <w:spacing w:before="60" w:after="60"/>
            </w:pPr>
            <w:r>
              <w:t xml:space="preserve">Warden </w:t>
            </w:r>
            <w:r w:rsidR="00156CFC">
              <w:t>Hicks</w:t>
            </w:r>
            <w:r>
              <w:t xml:space="preserve"> and Members of Grey County Council</w:t>
            </w:r>
          </w:p>
        </w:tc>
      </w:tr>
      <w:tr w:rsidR="009C4373" w14:paraId="28B0CAE8" w14:textId="77777777" w:rsidTr="00893CEB">
        <w:tc>
          <w:tcPr>
            <w:tcW w:w="3024" w:type="dxa"/>
          </w:tcPr>
          <w:p w14:paraId="76FE071B" w14:textId="77777777" w:rsidR="009C4373" w:rsidRDefault="009C4373" w:rsidP="00760C9B">
            <w:pPr>
              <w:spacing w:before="60" w:after="60"/>
            </w:pPr>
            <w:r w:rsidRPr="00860D2A">
              <w:rPr>
                <w:b/>
                <w:bCs/>
              </w:rPr>
              <w:t>Committee Date</w:t>
            </w:r>
            <w:r>
              <w:t>:</w:t>
            </w:r>
          </w:p>
        </w:tc>
        <w:tc>
          <w:tcPr>
            <w:tcW w:w="6326" w:type="dxa"/>
          </w:tcPr>
          <w:p w14:paraId="0A6390A5" w14:textId="556E9EB7" w:rsidR="009C4373" w:rsidRDefault="00156CFC" w:rsidP="00760C9B">
            <w:pPr>
              <w:spacing w:before="60" w:after="60"/>
            </w:pPr>
            <w:r>
              <w:t>January 28, 2021</w:t>
            </w:r>
          </w:p>
        </w:tc>
      </w:tr>
      <w:tr w:rsidR="009C4373" w14:paraId="2A75EB31" w14:textId="77777777" w:rsidTr="00893CEB">
        <w:tc>
          <w:tcPr>
            <w:tcW w:w="3024" w:type="dxa"/>
          </w:tcPr>
          <w:p w14:paraId="2164EC44" w14:textId="77777777" w:rsidR="009C4373" w:rsidRDefault="009C4373" w:rsidP="00760C9B">
            <w:pPr>
              <w:spacing w:before="60" w:after="60"/>
            </w:pPr>
            <w:r w:rsidRPr="00860D2A">
              <w:rPr>
                <w:b/>
                <w:bCs/>
              </w:rPr>
              <w:t>Subject / Report No</w:t>
            </w:r>
            <w:r>
              <w:t>:</w:t>
            </w:r>
          </w:p>
        </w:tc>
        <w:tc>
          <w:tcPr>
            <w:tcW w:w="6326" w:type="dxa"/>
          </w:tcPr>
          <w:p w14:paraId="37C8B935" w14:textId="74A75BB3" w:rsidR="009C4373" w:rsidRDefault="00156CFC" w:rsidP="00760C9B">
            <w:pPr>
              <w:spacing w:before="60" w:after="60"/>
            </w:pPr>
            <w:r>
              <w:t>HRR-CW-02-21</w:t>
            </w:r>
          </w:p>
        </w:tc>
      </w:tr>
      <w:tr w:rsidR="009C4373" w14:paraId="762A937E" w14:textId="77777777" w:rsidTr="00893CEB">
        <w:tc>
          <w:tcPr>
            <w:tcW w:w="3024" w:type="dxa"/>
          </w:tcPr>
          <w:p w14:paraId="08CC6E7A" w14:textId="77777777" w:rsidR="009C4373" w:rsidRDefault="009C4373" w:rsidP="00760C9B">
            <w:pPr>
              <w:spacing w:before="60" w:after="60"/>
            </w:pPr>
            <w:r w:rsidRPr="00860D2A">
              <w:rPr>
                <w:b/>
                <w:bCs/>
              </w:rPr>
              <w:t>Title</w:t>
            </w:r>
            <w:r>
              <w:t>:</w:t>
            </w:r>
          </w:p>
        </w:tc>
        <w:sdt>
          <w:sdtPr>
            <w:alias w:val="Title"/>
            <w:tag w:val=""/>
            <w:id w:val="1970864255"/>
            <w:placeholder>
              <w:docPart w:val="68346B44CA1B4F39A2BC57A12D8925EA"/>
            </w:placeholder>
            <w:dataBinding w:prefixMappings="xmlns:ns0='http://purl.org/dc/elements/1.1/' xmlns:ns1='http://schemas.openxmlformats.org/package/2006/metadata/core-properties' " w:xpath="/ns1:coreProperties[1]/ns0:title[1]" w:storeItemID="{6C3C8BC8-F283-45AE-878A-BAB7291924A1}"/>
            <w:text/>
          </w:sdtPr>
          <w:sdtEndPr/>
          <w:sdtContent>
            <w:tc>
              <w:tcPr>
                <w:tcW w:w="6326" w:type="dxa"/>
              </w:tcPr>
              <w:p w14:paraId="25B6F039" w14:textId="49CF508B" w:rsidR="009C4373" w:rsidRDefault="00156CFC" w:rsidP="00760C9B">
                <w:pPr>
                  <w:spacing w:before="60" w:after="60"/>
                </w:pPr>
                <w:r>
                  <w:t>2021 Employee Group Benefit Renewal</w:t>
                </w:r>
              </w:p>
            </w:tc>
          </w:sdtContent>
        </w:sdt>
      </w:tr>
      <w:tr w:rsidR="009C4373" w14:paraId="3A471F7F" w14:textId="77777777" w:rsidTr="00893CEB">
        <w:tc>
          <w:tcPr>
            <w:tcW w:w="3024" w:type="dxa"/>
          </w:tcPr>
          <w:p w14:paraId="5A695257" w14:textId="77777777" w:rsidR="009C4373" w:rsidRDefault="009C4373" w:rsidP="00760C9B">
            <w:pPr>
              <w:spacing w:before="60" w:after="60"/>
            </w:pPr>
            <w:r w:rsidRPr="00860D2A">
              <w:rPr>
                <w:b/>
                <w:bCs/>
              </w:rPr>
              <w:t>Prepared by</w:t>
            </w:r>
            <w:r>
              <w:t>:</w:t>
            </w:r>
          </w:p>
        </w:tc>
        <w:tc>
          <w:tcPr>
            <w:tcW w:w="6326" w:type="dxa"/>
          </w:tcPr>
          <w:p w14:paraId="1588C054" w14:textId="78844C1F" w:rsidR="009C4373" w:rsidRDefault="00156CFC" w:rsidP="00760C9B">
            <w:pPr>
              <w:spacing w:before="60" w:after="60"/>
            </w:pPr>
            <w:r>
              <w:t>Sandra Shipley, Human Resources Manager</w:t>
            </w:r>
          </w:p>
        </w:tc>
      </w:tr>
      <w:tr w:rsidR="009C4373" w14:paraId="5046C7C1" w14:textId="77777777" w:rsidTr="00893CEB">
        <w:tc>
          <w:tcPr>
            <w:tcW w:w="3024" w:type="dxa"/>
          </w:tcPr>
          <w:p w14:paraId="559021D4" w14:textId="77777777" w:rsidR="009C4373" w:rsidRDefault="009C4373" w:rsidP="00760C9B">
            <w:pPr>
              <w:spacing w:before="60" w:after="60"/>
            </w:pPr>
            <w:r w:rsidRPr="00860D2A">
              <w:rPr>
                <w:b/>
                <w:bCs/>
              </w:rPr>
              <w:t>Reviewed by</w:t>
            </w:r>
            <w:r>
              <w:t>:</w:t>
            </w:r>
          </w:p>
        </w:tc>
        <w:tc>
          <w:tcPr>
            <w:tcW w:w="6326" w:type="dxa"/>
          </w:tcPr>
          <w:p w14:paraId="156EA1ED" w14:textId="2C0B68AF" w:rsidR="009C4373" w:rsidRDefault="00536890" w:rsidP="00760C9B">
            <w:pPr>
              <w:spacing w:before="60" w:after="60"/>
            </w:pPr>
            <w:r>
              <w:t>Kevin Weppler, Director of Corporate Services</w:t>
            </w:r>
          </w:p>
        </w:tc>
      </w:tr>
      <w:tr w:rsidR="009C4373" w14:paraId="2A1ACE62" w14:textId="77777777" w:rsidTr="00893CEB">
        <w:tc>
          <w:tcPr>
            <w:tcW w:w="3024" w:type="dxa"/>
          </w:tcPr>
          <w:p w14:paraId="466A1BF7" w14:textId="77777777" w:rsidR="009C4373" w:rsidRDefault="009C4373" w:rsidP="00760C9B">
            <w:pPr>
              <w:spacing w:before="60" w:after="60"/>
            </w:pPr>
            <w:r w:rsidRPr="00860D2A">
              <w:rPr>
                <w:b/>
                <w:bCs/>
              </w:rPr>
              <w:t>Lower Tier(s) Affected</w:t>
            </w:r>
            <w:r>
              <w:t>:</w:t>
            </w:r>
          </w:p>
        </w:tc>
        <w:tc>
          <w:tcPr>
            <w:tcW w:w="6326" w:type="dxa"/>
          </w:tcPr>
          <w:p w14:paraId="6FBFBF4D" w14:textId="77777777" w:rsidR="009C4373" w:rsidRDefault="009C4373" w:rsidP="00760C9B">
            <w:pPr>
              <w:spacing w:before="60" w:after="60"/>
            </w:pPr>
          </w:p>
        </w:tc>
      </w:tr>
      <w:tr w:rsidR="009C4373" w14:paraId="7E914223" w14:textId="77777777" w:rsidTr="00893CEB">
        <w:tc>
          <w:tcPr>
            <w:tcW w:w="3024" w:type="dxa"/>
          </w:tcPr>
          <w:p w14:paraId="616C3E2C" w14:textId="77777777" w:rsidR="009C4373" w:rsidRDefault="009C4373" w:rsidP="00760C9B">
            <w:pPr>
              <w:spacing w:before="60" w:after="60"/>
            </w:pPr>
            <w:r w:rsidRPr="00860D2A">
              <w:rPr>
                <w:b/>
                <w:bCs/>
              </w:rPr>
              <w:t>Status</w:t>
            </w:r>
            <w:r>
              <w:t>:</w:t>
            </w:r>
          </w:p>
        </w:tc>
        <w:tc>
          <w:tcPr>
            <w:tcW w:w="6326" w:type="dxa"/>
          </w:tcPr>
          <w:p w14:paraId="1099FD26" w14:textId="0437D138" w:rsidR="009C4373" w:rsidRDefault="00317D74" w:rsidP="00760C9B">
            <w:pPr>
              <w:spacing w:before="60" w:after="60"/>
            </w:pPr>
            <w:r>
              <w:t>Recommendation adopted by Committee as presented per Resolution CW25-21; Endorsed by County Council February 11, 2021 per Resolution CC16-21</w:t>
            </w:r>
          </w:p>
        </w:tc>
      </w:tr>
    </w:tbl>
    <w:p w14:paraId="22045908" w14:textId="77777777" w:rsidR="00893CEB" w:rsidRDefault="00893CEB" w:rsidP="00893CEB">
      <w:pPr>
        <w:pStyle w:val="Heading1"/>
      </w:pPr>
      <w:r>
        <w:t>Recommendation</w:t>
      </w:r>
    </w:p>
    <w:p w14:paraId="1BD85B9B" w14:textId="7E0CC175" w:rsidR="00893CEB" w:rsidRPr="00D2348C" w:rsidRDefault="00893CEB" w:rsidP="00D2348C">
      <w:pPr>
        <w:pStyle w:val="Level1"/>
        <w:rPr>
          <w:b/>
          <w:bCs w:val="0"/>
        </w:rPr>
      </w:pPr>
      <w:r w:rsidRPr="00D2348C">
        <w:rPr>
          <w:b/>
          <w:bCs w:val="0"/>
        </w:rPr>
        <w:t>That</w:t>
      </w:r>
      <w:r w:rsidR="00156CFC">
        <w:rPr>
          <w:b/>
          <w:bCs w:val="0"/>
        </w:rPr>
        <w:t xml:space="preserve"> Report HRR-CW-02-21 regarding the 2021 employee group benefit program renewal be received;</w:t>
      </w:r>
      <w:r w:rsidRPr="00D2348C">
        <w:rPr>
          <w:b/>
          <w:bCs w:val="0"/>
        </w:rPr>
        <w:t xml:space="preserve"> and</w:t>
      </w:r>
    </w:p>
    <w:p w14:paraId="0A312916" w14:textId="5664D377" w:rsidR="00E0692A" w:rsidRPr="00D2348C" w:rsidRDefault="00893CEB" w:rsidP="00E0692A">
      <w:pPr>
        <w:pStyle w:val="Level1"/>
        <w:rPr>
          <w:b/>
          <w:bCs w:val="0"/>
        </w:rPr>
      </w:pPr>
      <w:r w:rsidRPr="00D2348C">
        <w:rPr>
          <w:b/>
          <w:bCs w:val="0"/>
        </w:rPr>
        <w:t>That</w:t>
      </w:r>
      <w:r w:rsidR="00156CFC">
        <w:rPr>
          <w:b/>
          <w:bCs w:val="0"/>
        </w:rPr>
        <w:t xml:space="preserve"> the insurance polic</w:t>
      </w:r>
      <w:r w:rsidR="00B55B76">
        <w:rPr>
          <w:b/>
          <w:bCs w:val="0"/>
        </w:rPr>
        <w:t>y</w:t>
      </w:r>
      <w:r w:rsidR="00156CFC">
        <w:rPr>
          <w:b/>
          <w:bCs w:val="0"/>
        </w:rPr>
        <w:t xml:space="preserve"> with Sun Life Financial be renewed for the period of January 1</w:t>
      </w:r>
      <w:r w:rsidR="00875CB9">
        <w:rPr>
          <w:b/>
          <w:bCs w:val="0"/>
        </w:rPr>
        <w:t>, 2021 to March 31</w:t>
      </w:r>
      <w:r w:rsidR="00156CFC">
        <w:rPr>
          <w:b/>
          <w:bCs w:val="0"/>
        </w:rPr>
        <w:t>, 202</w:t>
      </w:r>
      <w:r w:rsidR="00875CB9">
        <w:rPr>
          <w:b/>
          <w:bCs w:val="0"/>
        </w:rPr>
        <w:t>2</w:t>
      </w:r>
      <w:r w:rsidR="00156CFC">
        <w:rPr>
          <w:b/>
          <w:bCs w:val="0"/>
        </w:rPr>
        <w:t xml:space="preserve"> at the proposed premium level.</w:t>
      </w:r>
    </w:p>
    <w:p w14:paraId="48D663CE" w14:textId="77777777" w:rsidR="00893CEB" w:rsidRDefault="00893CEB" w:rsidP="00893CEB">
      <w:pPr>
        <w:pStyle w:val="Heading2"/>
      </w:pPr>
      <w:r>
        <w:t>Executive Summary</w:t>
      </w:r>
    </w:p>
    <w:p w14:paraId="63BFABB4" w14:textId="4664AD96" w:rsidR="00893CEB" w:rsidRDefault="00F22935" w:rsidP="00893CEB">
      <w:r>
        <w:t xml:space="preserve">The majority of the employee group benefit program for Grey County is </w:t>
      </w:r>
      <w:r w:rsidR="005B6C22">
        <w:t xml:space="preserve">underwritten by Sun Life Financial.  </w:t>
      </w:r>
      <w:r w:rsidR="00BE1924">
        <w:t>Basic life, insured short term disability (STD), long term disability (LTD</w:t>
      </w:r>
      <w:r w:rsidR="00D070FE">
        <w:t>)</w:t>
      </w:r>
      <w:r w:rsidR="008E3C8A">
        <w:t>, extended health</w:t>
      </w:r>
      <w:r w:rsidR="00713BA2">
        <w:t xml:space="preserve"> </w:t>
      </w:r>
      <w:r w:rsidR="008E3C8A">
        <w:t>care and dental are insured through Sun Life Financial, while the accidental death and dismemberment</w:t>
      </w:r>
      <w:r w:rsidR="00CC3BC3">
        <w:t xml:space="preserve"> (AD&amp;D)</w:t>
      </w:r>
      <w:r w:rsidR="008E3C8A">
        <w:t xml:space="preserve"> </w:t>
      </w:r>
      <w:r w:rsidR="008259AA">
        <w:t>benefit is provided by AIG Insurance.</w:t>
      </w:r>
      <w:r w:rsidR="000C4A51">
        <w:t xml:space="preserve">  Mosey and Mosey Benefit Consultants is the </w:t>
      </w:r>
      <w:r w:rsidR="00F10664">
        <w:t>County’s Agent of Record.</w:t>
      </w:r>
    </w:p>
    <w:p w14:paraId="4B2AF860" w14:textId="77777777" w:rsidR="00893CEB" w:rsidRDefault="00893CEB" w:rsidP="00893CEB">
      <w:pPr>
        <w:pStyle w:val="Heading2"/>
      </w:pPr>
      <w:r>
        <w:t>Background and Discussion</w:t>
      </w:r>
    </w:p>
    <w:p w14:paraId="16F54ABE" w14:textId="77777777" w:rsidR="00FF49D0" w:rsidRDefault="00B0654E" w:rsidP="00893CEB">
      <w:r>
        <w:t>At the time of the 2020 benefit insurance renewal, Mosey and Mosey recommende</w:t>
      </w:r>
      <w:r w:rsidR="0016145C">
        <w:t xml:space="preserve">d marketing the </w:t>
      </w:r>
      <w:r w:rsidR="00F11B90">
        <w:t>benefit plan currently insured through Sun L</w:t>
      </w:r>
      <w:r w:rsidR="00150D66">
        <w:t xml:space="preserve">ife.  </w:t>
      </w:r>
      <w:r w:rsidR="00616C57">
        <w:t>The AD&amp;D benefit was not</w:t>
      </w:r>
      <w:r w:rsidR="00FF2D95">
        <w:t xml:space="preserve"> </w:t>
      </w:r>
      <w:r w:rsidR="003E35B4">
        <w:t>included in the marketing</w:t>
      </w:r>
      <w:r w:rsidR="00FF49D0">
        <w:t xml:space="preserve"> as AIG is a specialty AD&amp;D carrier and offers superior coverage for this benefit at a more competitive cost.  </w:t>
      </w:r>
    </w:p>
    <w:p w14:paraId="4A874880" w14:textId="300E34CF" w:rsidR="00893CEB" w:rsidRDefault="00D55C2B" w:rsidP="00893CEB">
      <w:r>
        <w:lastRenderedPageBreak/>
        <w:t>Mosey and Mosey contacted thirteen carriers who make up the competitive marketplace in employee group benefits.  Each carrier was provided  with specifications detailing the current plan design, premium rate history, premium versus paid claims experience, funding arrangements and employee census data</w:t>
      </w:r>
      <w:r w:rsidR="00150D66">
        <w:t>.</w:t>
      </w:r>
      <w:r w:rsidR="00665D03">
        <w:t xml:space="preserve">  Quotations on all benefit lines were received from four carriers</w:t>
      </w:r>
      <w:r w:rsidR="005B057E">
        <w:t xml:space="preserve">.  A fifth insurer </w:t>
      </w:r>
      <w:r w:rsidR="004F648C">
        <w:t xml:space="preserve">submitted a </w:t>
      </w:r>
      <w:r w:rsidR="00B4762C">
        <w:t>proposal for extended health</w:t>
      </w:r>
      <w:r w:rsidR="00F411DD">
        <w:t xml:space="preserve"> </w:t>
      </w:r>
      <w:r w:rsidR="00B4762C">
        <w:t>care, travel and dental only.  The remain</w:t>
      </w:r>
      <w:r w:rsidR="008B3D33">
        <w:t>ing carriers declined to provide a proposal for various reasons rangin</w:t>
      </w:r>
      <w:r w:rsidR="00E51EEE">
        <w:t>g from an inability to offer any cost savings over existing premium rates, group not in their target market or an inability to duplicate</w:t>
      </w:r>
      <w:r w:rsidR="0077682C">
        <w:t xml:space="preserve"> the current contractual provisions.</w:t>
      </w:r>
    </w:p>
    <w:p w14:paraId="6D41D036" w14:textId="4EC4EEEC" w:rsidR="008166E4" w:rsidRDefault="00492FF2" w:rsidP="00893CEB">
      <w:r>
        <w:t xml:space="preserve">The following chart </w:t>
      </w:r>
      <w:r w:rsidR="00E17EF1">
        <w:t xml:space="preserve">outlines the </w:t>
      </w:r>
      <w:r w:rsidR="00F540A2">
        <w:t>received quotations and compare to the annual premiums prior to renewal:</w:t>
      </w:r>
    </w:p>
    <w:tbl>
      <w:tblPr>
        <w:tblStyle w:val="TableGrid"/>
        <w:tblW w:w="0" w:type="auto"/>
        <w:tblLook w:val="04A0" w:firstRow="1" w:lastRow="0" w:firstColumn="1" w:lastColumn="0" w:noHBand="0" w:noVBand="1"/>
      </w:tblPr>
      <w:tblGrid>
        <w:gridCol w:w="1870"/>
        <w:gridCol w:w="1870"/>
        <w:gridCol w:w="1870"/>
        <w:gridCol w:w="1870"/>
        <w:gridCol w:w="1870"/>
      </w:tblGrid>
      <w:tr w:rsidR="00035D60" w14:paraId="3139D43B" w14:textId="77777777" w:rsidTr="00035D60">
        <w:tc>
          <w:tcPr>
            <w:tcW w:w="1870" w:type="dxa"/>
          </w:tcPr>
          <w:p w14:paraId="53D8462F" w14:textId="0BDE6D21" w:rsidR="00035D60" w:rsidRPr="00D60968" w:rsidRDefault="00035D60" w:rsidP="00D60968">
            <w:pPr>
              <w:jc w:val="center"/>
              <w:rPr>
                <w:b/>
                <w:bCs/>
              </w:rPr>
            </w:pPr>
            <w:r w:rsidRPr="00D60968">
              <w:rPr>
                <w:b/>
                <w:bCs/>
              </w:rPr>
              <w:t>Insurer</w:t>
            </w:r>
          </w:p>
        </w:tc>
        <w:tc>
          <w:tcPr>
            <w:tcW w:w="1870" w:type="dxa"/>
          </w:tcPr>
          <w:p w14:paraId="2B094E58" w14:textId="08F88D19" w:rsidR="00035D60" w:rsidRPr="00D60968" w:rsidRDefault="00035D60" w:rsidP="00D60968">
            <w:pPr>
              <w:jc w:val="center"/>
              <w:rPr>
                <w:b/>
                <w:bCs/>
              </w:rPr>
            </w:pPr>
            <w:r w:rsidRPr="00D60968">
              <w:rPr>
                <w:b/>
                <w:bCs/>
              </w:rPr>
              <w:t>Life &amp; LTD</w:t>
            </w:r>
          </w:p>
        </w:tc>
        <w:tc>
          <w:tcPr>
            <w:tcW w:w="1870" w:type="dxa"/>
          </w:tcPr>
          <w:p w14:paraId="1F0F5492" w14:textId="6310329C" w:rsidR="00035D60" w:rsidRPr="00D60968" w:rsidRDefault="00035D60" w:rsidP="00D60968">
            <w:pPr>
              <w:jc w:val="center"/>
              <w:rPr>
                <w:b/>
                <w:bCs/>
              </w:rPr>
            </w:pPr>
            <w:r w:rsidRPr="00D60968">
              <w:rPr>
                <w:b/>
                <w:bCs/>
              </w:rPr>
              <w:t>STD</w:t>
            </w:r>
          </w:p>
        </w:tc>
        <w:tc>
          <w:tcPr>
            <w:tcW w:w="1870" w:type="dxa"/>
          </w:tcPr>
          <w:p w14:paraId="2A2C2D46" w14:textId="059E27C5" w:rsidR="00035D60" w:rsidRPr="00D60968" w:rsidRDefault="00035D60" w:rsidP="00D60968">
            <w:pPr>
              <w:jc w:val="center"/>
              <w:rPr>
                <w:b/>
                <w:bCs/>
              </w:rPr>
            </w:pPr>
            <w:r w:rsidRPr="00D60968">
              <w:rPr>
                <w:b/>
                <w:bCs/>
              </w:rPr>
              <w:t>Health/Dental</w:t>
            </w:r>
          </w:p>
        </w:tc>
        <w:tc>
          <w:tcPr>
            <w:tcW w:w="1870" w:type="dxa"/>
          </w:tcPr>
          <w:p w14:paraId="7BD18DCC" w14:textId="2816393D" w:rsidR="00035D60" w:rsidRPr="00D60968" w:rsidRDefault="00035D60" w:rsidP="00D60968">
            <w:pPr>
              <w:jc w:val="center"/>
              <w:rPr>
                <w:b/>
                <w:bCs/>
              </w:rPr>
            </w:pPr>
            <w:r w:rsidRPr="00D60968">
              <w:rPr>
                <w:b/>
                <w:bCs/>
              </w:rPr>
              <w:t>Total</w:t>
            </w:r>
          </w:p>
        </w:tc>
      </w:tr>
      <w:tr w:rsidR="00035D60" w14:paraId="24CF2294" w14:textId="77777777" w:rsidTr="00035D60">
        <w:tc>
          <w:tcPr>
            <w:tcW w:w="1870" w:type="dxa"/>
          </w:tcPr>
          <w:p w14:paraId="16366E8D" w14:textId="5817B5C9" w:rsidR="00035D60" w:rsidRPr="00D60968" w:rsidRDefault="003C3831" w:rsidP="00893CEB">
            <w:pPr>
              <w:rPr>
                <w:b/>
                <w:bCs/>
                <w:i/>
                <w:iCs/>
              </w:rPr>
            </w:pPr>
            <w:r w:rsidRPr="00D60968">
              <w:rPr>
                <w:b/>
                <w:bCs/>
                <w:i/>
                <w:iCs/>
              </w:rPr>
              <w:t>Current Costs</w:t>
            </w:r>
          </w:p>
        </w:tc>
        <w:tc>
          <w:tcPr>
            <w:tcW w:w="1870" w:type="dxa"/>
          </w:tcPr>
          <w:p w14:paraId="413BE6DF" w14:textId="37FBFBF1" w:rsidR="00035D60" w:rsidRPr="00D60968" w:rsidRDefault="003C3831" w:rsidP="007F5242">
            <w:pPr>
              <w:jc w:val="center"/>
              <w:rPr>
                <w:b/>
                <w:bCs/>
              </w:rPr>
            </w:pPr>
            <w:r w:rsidRPr="00D60968">
              <w:rPr>
                <w:b/>
                <w:bCs/>
              </w:rPr>
              <w:t>1,162,680</w:t>
            </w:r>
          </w:p>
        </w:tc>
        <w:tc>
          <w:tcPr>
            <w:tcW w:w="1870" w:type="dxa"/>
          </w:tcPr>
          <w:p w14:paraId="3214D613" w14:textId="18303B07" w:rsidR="00035D60" w:rsidRPr="00D60968" w:rsidRDefault="003C3831" w:rsidP="007F5242">
            <w:pPr>
              <w:jc w:val="center"/>
              <w:rPr>
                <w:b/>
                <w:bCs/>
              </w:rPr>
            </w:pPr>
            <w:r w:rsidRPr="00D60968">
              <w:rPr>
                <w:b/>
                <w:bCs/>
              </w:rPr>
              <w:t>146,988</w:t>
            </w:r>
          </w:p>
        </w:tc>
        <w:tc>
          <w:tcPr>
            <w:tcW w:w="1870" w:type="dxa"/>
          </w:tcPr>
          <w:p w14:paraId="6465614E" w14:textId="71D7EB14" w:rsidR="00035D60" w:rsidRPr="00D60968" w:rsidRDefault="00D27025" w:rsidP="007F5242">
            <w:pPr>
              <w:jc w:val="center"/>
              <w:rPr>
                <w:b/>
                <w:bCs/>
              </w:rPr>
            </w:pPr>
            <w:r w:rsidRPr="00D60968">
              <w:rPr>
                <w:b/>
                <w:bCs/>
              </w:rPr>
              <w:t>2,388,840</w:t>
            </w:r>
          </w:p>
        </w:tc>
        <w:tc>
          <w:tcPr>
            <w:tcW w:w="1870" w:type="dxa"/>
          </w:tcPr>
          <w:p w14:paraId="2052D557" w14:textId="6602C16A" w:rsidR="00035D60" w:rsidRPr="00D60968" w:rsidRDefault="00D27025" w:rsidP="007F5242">
            <w:pPr>
              <w:jc w:val="center"/>
              <w:rPr>
                <w:b/>
                <w:bCs/>
              </w:rPr>
            </w:pPr>
            <w:r w:rsidRPr="00D60968">
              <w:rPr>
                <w:b/>
                <w:bCs/>
              </w:rPr>
              <w:t>3,698,508</w:t>
            </w:r>
          </w:p>
        </w:tc>
      </w:tr>
      <w:tr w:rsidR="00035D60" w14:paraId="46613A94" w14:textId="77777777" w:rsidTr="00035D60">
        <w:tc>
          <w:tcPr>
            <w:tcW w:w="1870" w:type="dxa"/>
          </w:tcPr>
          <w:p w14:paraId="4246F16F" w14:textId="06981534" w:rsidR="00035D60" w:rsidRDefault="00D27025" w:rsidP="00893CEB">
            <w:r>
              <w:t xml:space="preserve">Sun Life </w:t>
            </w:r>
          </w:p>
        </w:tc>
        <w:tc>
          <w:tcPr>
            <w:tcW w:w="1870" w:type="dxa"/>
          </w:tcPr>
          <w:p w14:paraId="36A91168" w14:textId="7F974A56" w:rsidR="00035D60" w:rsidRDefault="00D27025" w:rsidP="007F5242">
            <w:pPr>
              <w:jc w:val="center"/>
            </w:pPr>
            <w:r>
              <w:t>1,</w:t>
            </w:r>
            <w:r w:rsidR="009C3C66">
              <w:t>284,624</w:t>
            </w:r>
          </w:p>
        </w:tc>
        <w:tc>
          <w:tcPr>
            <w:tcW w:w="1870" w:type="dxa"/>
          </w:tcPr>
          <w:p w14:paraId="0F0D93B5" w14:textId="74D791CB" w:rsidR="00035D60" w:rsidRDefault="009C3C66" w:rsidP="007F5242">
            <w:pPr>
              <w:jc w:val="center"/>
            </w:pPr>
            <w:r>
              <w:t>145,332</w:t>
            </w:r>
          </w:p>
        </w:tc>
        <w:tc>
          <w:tcPr>
            <w:tcW w:w="1870" w:type="dxa"/>
          </w:tcPr>
          <w:p w14:paraId="16E840D3" w14:textId="63B4A6B9" w:rsidR="00035D60" w:rsidRDefault="009C3C66" w:rsidP="007F5242">
            <w:pPr>
              <w:jc w:val="center"/>
            </w:pPr>
            <w:r>
              <w:t>2,203,212</w:t>
            </w:r>
          </w:p>
        </w:tc>
        <w:tc>
          <w:tcPr>
            <w:tcW w:w="1870" w:type="dxa"/>
          </w:tcPr>
          <w:p w14:paraId="670BAFB9" w14:textId="5F83A1E9" w:rsidR="00035D60" w:rsidRDefault="009C3C66" w:rsidP="007F5242">
            <w:pPr>
              <w:jc w:val="center"/>
            </w:pPr>
            <w:r>
              <w:t>3,633,168</w:t>
            </w:r>
          </w:p>
        </w:tc>
      </w:tr>
      <w:tr w:rsidR="00035D60" w14:paraId="069A199C" w14:textId="77777777" w:rsidTr="00035D60">
        <w:tc>
          <w:tcPr>
            <w:tcW w:w="1870" w:type="dxa"/>
          </w:tcPr>
          <w:p w14:paraId="6737FD85" w14:textId="2FBB00F8" w:rsidR="00035D60" w:rsidRDefault="00056890" w:rsidP="00893CEB">
            <w:r>
              <w:t>Industrial All</w:t>
            </w:r>
            <w:r w:rsidR="006725C8">
              <w:t>.</w:t>
            </w:r>
          </w:p>
        </w:tc>
        <w:tc>
          <w:tcPr>
            <w:tcW w:w="1870" w:type="dxa"/>
          </w:tcPr>
          <w:p w14:paraId="6A05B5B9" w14:textId="6C99E99F" w:rsidR="00035D60" w:rsidRDefault="00056890" w:rsidP="007F5242">
            <w:pPr>
              <w:jc w:val="center"/>
            </w:pPr>
            <w:r>
              <w:t>1,266,732</w:t>
            </w:r>
          </w:p>
        </w:tc>
        <w:tc>
          <w:tcPr>
            <w:tcW w:w="1870" w:type="dxa"/>
          </w:tcPr>
          <w:p w14:paraId="78197550" w14:textId="266FBD11" w:rsidR="00035D60" w:rsidRDefault="00056890" w:rsidP="007F5242">
            <w:pPr>
              <w:jc w:val="center"/>
            </w:pPr>
            <w:r>
              <w:t>137,316</w:t>
            </w:r>
          </w:p>
        </w:tc>
        <w:tc>
          <w:tcPr>
            <w:tcW w:w="1870" w:type="dxa"/>
          </w:tcPr>
          <w:p w14:paraId="03B6689D" w14:textId="04459848" w:rsidR="00035D60" w:rsidRDefault="00FB3047" w:rsidP="007F5242">
            <w:pPr>
              <w:jc w:val="center"/>
            </w:pPr>
            <w:r>
              <w:t>2,199,708</w:t>
            </w:r>
          </w:p>
        </w:tc>
        <w:tc>
          <w:tcPr>
            <w:tcW w:w="1870" w:type="dxa"/>
          </w:tcPr>
          <w:p w14:paraId="07D80DE7" w14:textId="7272B160" w:rsidR="00035D60" w:rsidRDefault="00FB3047" w:rsidP="007F5242">
            <w:pPr>
              <w:jc w:val="center"/>
            </w:pPr>
            <w:r>
              <w:t>3,603,756</w:t>
            </w:r>
          </w:p>
        </w:tc>
      </w:tr>
      <w:tr w:rsidR="00035D60" w14:paraId="753D7B76" w14:textId="77777777" w:rsidTr="00035D60">
        <w:tc>
          <w:tcPr>
            <w:tcW w:w="1870" w:type="dxa"/>
          </w:tcPr>
          <w:p w14:paraId="60D51C1C" w14:textId="3901A26A" w:rsidR="00035D60" w:rsidRDefault="00FB3047" w:rsidP="00893CEB">
            <w:r>
              <w:t>Desjardins</w:t>
            </w:r>
          </w:p>
        </w:tc>
        <w:tc>
          <w:tcPr>
            <w:tcW w:w="1870" w:type="dxa"/>
          </w:tcPr>
          <w:p w14:paraId="6AA43EFA" w14:textId="79792B5A" w:rsidR="00035D60" w:rsidRDefault="007F5242" w:rsidP="007F5242">
            <w:pPr>
              <w:jc w:val="center"/>
            </w:pPr>
            <w:r>
              <w:t>1,256,628</w:t>
            </w:r>
          </w:p>
        </w:tc>
        <w:tc>
          <w:tcPr>
            <w:tcW w:w="1870" w:type="dxa"/>
          </w:tcPr>
          <w:p w14:paraId="3A10F0BC" w14:textId="2EF5D722" w:rsidR="00035D60" w:rsidRDefault="003475C7" w:rsidP="007F5242">
            <w:pPr>
              <w:jc w:val="center"/>
            </w:pPr>
            <w:r>
              <w:t>150,084</w:t>
            </w:r>
          </w:p>
        </w:tc>
        <w:tc>
          <w:tcPr>
            <w:tcW w:w="1870" w:type="dxa"/>
          </w:tcPr>
          <w:p w14:paraId="36F03610" w14:textId="1D0F6FC8" w:rsidR="00035D60" w:rsidRDefault="003475C7" w:rsidP="007F5242">
            <w:pPr>
              <w:jc w:val="center"/>
            </w:pPr>
            <w:r>
              <w:t>2,347,644</w:t>
            </w:r>
          </w:p>
        </w:tc>
        <w:tc>
          <w:tcPr>
            <w:tcW w:w="1870" w:type="dxa"/>
          </w:tcPr>
          <w:p w14:paraId="3856CE84" w14:textId="667F9902" w:rsidR="00035D60" w:rsidRDefault="003475C7" w:rsidP="007F5242">
            <w:pPr>
              <w:jc w:val="center"/>
            </w:pPr>
            <w:r>
              <w:t>3,754,356</w:t>
            </w:r>
          </w:p>
        </w:tc>
      </w:tr>
      <w:tr w:rsidR="00056890" w14:paraId="3CA4E94D" w14:textId="77777777" w:rsidTr="00035D60">
        <w:tc>
          <w:tcPr>
            <w:tcW w:w="1870" w:type="dxa"/>
          </w:tcPr>
          <w:p w14:paraId="5488B580" w14:textId="3016671D" w:rsidR="00056890" w:rsidRDefault="006725C8" w:rsidP="00893CEB">
            <w:r>
              <w:t>Manulife</w:t>
            </w:r>
          </w:p>
        </w:tc>
        <w:tc>
          <w:tcPr>
            <w:tcW w:w="1870" w:type="dxa"/>
          </w:tcPr>
          <w:p w14:paraId="1BA7D674" w14:textId="7A0BBCD0" w:rsidR="00056890" w:rsidRDefault="006725C8" w:rsidP="007F5242">
            <w:pPr>
              <w:jc w:val="center"/>
            </w:pPr>
            <w:r>
              <w:t>1,256,604</w:t>
            </w:r>
          </w:p>
        </w:tc>
        <w:tc>
          <w:tcPr>
            <w:tcW w:w="1870" w:type="dxa"/>
          </w:tcPr>
          <w:p w14:paraId="10DAE9A6" w14:textId="7011322B" w:rsidR="00056890" w:rsidRDefault="006725C8" w:rsidP="007F5242">
            <w:pPr>
              <w:jc w:val="center"/>
            </w:pPr>
            <w:r>
              <w:t>150,324</w:t>
            </w:r>
          </w:p>
        </w:tc>
        <w:tc>
          <w:tcPr>
            <w:tcW w:w="1870" w:type="dxa"/>
          </w:tcPr>
          <w:p w14:paraId="3942400D" w14:textId="44D19732" w:rsidR="00056890" w:rsidRDefault="00904AB1" w:rsidP="007F5242">
            <w:pPr>
              <w:jc w:val="center"/>
            </w:pPr>
            <w:r>
              <w:t>2,370,180</w:t>
            </w:r>
          </w:p>
        </w:tc>
        <w:tc>
          <w:tcPr>
            <w:tcW w:w="1870" w:type="dxa"/>
          </w:tcPr>
          <w:p w14:paraId="3D9FF5C9" w14:textId="183C4ED0" w:rsidR="00056890" w:rsidRDefault="00904AB1" w:rsidP="007F5242">
            <w:pPr>
              <w:jc w:val="center"/>
            </w:pPr>
            <w:r>
              <w:t>3,777,108</w:t>
            </w:r>
          </w:p>
        </w:tc>
      </w:tr>
      <w:tr w:rsidR="00056890" w14:paraId="01544C99" w14:textId="77777777" w:rsidTr="00035D60">
        <w:tc>
          <w:tcPr>
            <w:tcW w:w="1870" w:type="dxa"/>
          </w:tcPr>
          <w:p w14:paraId="1D96FB2D" w14:textId="1FAEA3BF" w:rsidR="00056890" w:rsidRDefault="00904AB1" w:rsidP="00893CEB">
            <w:r>
              <w:t>Green Shield</w:t>
            </w:r>
          </w:p>
        </w:tc>
        <w:tc>
          <w:tcPr>
            <w:tcW w:w="1870" w:type="dxa"/>
          </w:tcPr>
          <w:p w14:paraId="442EBCC6" w14:textId="77777777" w:rsidR="00056890" w:rsidRDefault="00056890" w:rsidP="00893CEB"/>
        </w:tc>
        <w:tc>
          <w:tcPr>
            <w:tcW w:w="1870" w:type="dxa"/>
          </w:tcPr>
          <w:p w14:paraId="500CC016" w14:textId="77777777" w:rsidR="00056890" w:rsidRDefault="00056890" w:rsidP="00893CEB"/>
        </w:tc>
        <w:tc>
          <w:tcPr>
            <w:tcW w:w="1870" w:type="dxa"/>
          </w:tcPr>
          <w:p w14:paraId="1431E2C3" w14:textId="748CA8CC" w:rsidR="00056890" w:rsidRDefault="00904AB1" w:rsidP="00904AB1">
            <w:pPr>
              <w:jc w:val="center"/>
            </w:pPr>
            <w:r>
              <w:t>2,192,940</w:t>
            </w:r>
          </w:p>
        </w:tc>
        <w:tc>
          <w:tcPr>
            <w:tcW w:w="1870" w:type="dxa"/>
          </w:tcPr>
          <w:p w14:paraId="58D5135A" w14:textId="198D7E19" w:rsidR="00056890" w:rsidRDefault="00056890" w:rsidP="00893CEB"/>
        </w:tc>
      </w:tr>
    </w:tbl>
    <w:p w14:paraId="5B9A7E40" w14:textId="2DD3EEC7" w:rsidR="00F540A2" w:rsidRDefault="00F540A2" w:rsidP="00E75CF1">
      <w:pPr>
        <w:spacing w:after="120"/>
      </w:pPr>
    </w:p>
    <w:p w14:paraId="45455B1C" w14:textId="64A61C09" w:rsidR="001F0103" w:rsidRDefault="001F0103" w:rsidP="00E75CF1">
      <w:pPr>
        <w:spacing w:after="120"/>
      </w:pPr>
      <w:r>
        <w:t>As part of the marketing, Mosey and Mosey</w:t>
      </w:r>
      <w:r w:rsidR="009026CA">
        <w:t xml:space="preserve"> directed each insurer to offer caps on increases at the first scheduled renewal</w:t>
      </w:r>
      <w:r w:rsidR="000721E8">
        <w:t>:</w:t>
      </w:r>
    </w:p>
    <w:tbl>
      <w:tblPr>
        <w:tblStyle w:val="TableGrid"/>
        <w:tblW w:w="0" w:type="auto"/>
        <w:tblLook w:val="04A0" w:firstRow="1" w:lastRow="0" w:firstColumn="1" w:lastColumn="0" w:noHBand="0" w:noVBand="1"/>
      </w:tblPr>
      <w:tblGrid>
        <w:gridCol w:w="1885"/>
        <w:gridCol w:w="3780"/>
        <w:gridCol w:w="3685"/>
      </w:tblGrid>
      <w:tr w:rsidR="00BD4BAA" w14:paraId="0D39D8C7" w14:textId="77777777" w:rsidTr="00332C01">
        <w:tc>
          <w:tcPr>
            <w:tcW w:w="1885" w:type="dxa"/>
          </w:tcPr>
          <w:p w14:paraId="350732D4" w14:textId="727D7B02" w:rsidR="00BD4BAA" w:rsidRPr="00BD4BAA" w:rsidRDefault="00BD4BAA" w:rsidP="00E75CF1">
            <w:pPr>
              <w:spacing w:after="120"/>
              <w:rPr>
                <w:b/>
                <w:bCs/>
              </w:rPr>
            </w:pPr>
            <w:r w:rsidRPr="00BD4BAA">
              <w:rPr>
                <w:b/>
                <w:bCs/>
              </w:rPr>
              <w:t>Insurer</w:t>
            </w:r>
          </w:p>
        </w:tc>
        <w:tc>
          <w:tcPr>
            <w:tcW w:w="3780" w:type="dxa"/>
          </w:tcPr>
          <w:p w14:paraId="7035B260" w14:textId="1C7327A1" w:rsidR="00BD4BAA" w:rsidRPr="00BD4BAA" w:rsidRDefault="00BD4BAA" w:rsidP="00E75CF1">
            <w:pPr>
              <w:spacing w:after="120"/>
              <w:rPr>
                <w:b/>
                <w:bCs/>
              </w:rPr>
            </w:pPr>
            <w:r w:rsidRPr="00BD4BAA">
              <w:rPr>
                <w:b/>
                <w:bCs/>
              </w:rPr>
              <w:t>Life &amp; LTD</w:t>
            </w:r>
          </w:p>
        </w:tc>
        <w:tc>
          <w:tcPr>
            <w:tcW w:w="3685" w:type="dxa"/>
          </w:tcPr>
          <w:p w14:paraId="5708F207" w14:textId="38A25B88" w:rsidR="00BD4BAA" w:rsidRPr="00BD4BAA" w:rsidRDefault="00BD4BAA" w:rsidP="00E75CF1">
            <w:pPr>
              <w:spacing w:after="120"/>
              <w:rPr>
                <w:b/>
                <w:bCs/>
              </w:rPr>
            </w:pPr>
            <w:r w:rsidRPr="00BD4BAA">
              <w:rPr>
                <w:b/>
                <w:bCs/>
              </w:rPr>
              <w:t>STD, Health and Dental</w:t>
            </w:r>
          </w:p>
        </w:tc>
      </w:tr>
      <w:tr w:rsidR="00BD4BAA" w14:paraId="02FFF5E8" w14:textId="77777777" w:rsidTr="00332C01">
        <w:tc>
          <w:tcPr>
            <w:tcW w:w="1885" w:type="dxa"/>
          </w:tcPr>
          <w:p w14:paraId="7F3E02C9" w14:textId="04AD4BE1" w:rsidR="00BD4BAA" w:rsidRDefault="00BD4BAA" w:rsidP="00E75CF1">
            <w:pPr>
              <w:spacing w:after="120"/>
            </w:pPr>
            <w:r>
              <w:t>Sun Life</w:t>
            </w:r>
          </w:p>
        </w:tc>
        <w:tc>
          <w:tcPr>
            <w:tcW w:w="3780" w:type="dxa"/>
          </w:tcPr>
          <w:p w14:paraId="08FDD794" w14:textId="057DB12D" w:rsidR="00BD4BAA" w:rsidRDefault="00CC5A9E" w:rsidP="00683BCC">
            <w:pPr>
              <w:spacing w:after="120"/>
              <w:jc w:val="center"/>
            </w:pPr>
            <w:r>
              <w:t xml:space="preserve">27 </w:t>
            </w:r>
            <w:r w:rsidR="005D2F76">
              <w:t>m</w:t>
            </w:r>
            <w:r>
              <w:t xml:space="preserve">onths; 15% combined </w:t>
            </w:r>
            <w:r w:rsidR="005D2F76">
              <w:t>cap</w:t>
            </w:r>
          </w:p>
        </w:tc>
        <w:tc>
          <w:tcPr>
            <w:tcW w:w="3685" w:type="dxa"/>
          </w:tcPr>
          <w:p w14:paraId="0D43F44D" w14:textId="53651463" w:rsidR="00BD4BAA" w:rsidRDefault="005D2F76" w:rsidP="00683BCC">
            <w:pPr>
              <w:spacing w:after="120"/>
              <w:jc w:val="center"/>
            </w:pPr>
            <w:r>
              <w:t>15 months;</w:t>
            </w:r>
            <w:r w:rsidR="00332C01">
              <w:t xml:space="preserve"> 10% combined cap</w:t>
            </w:r>
          </w:p>
        </w:tc>
      </w:tr>
      <w:tr w:rsidR="00BD4BAA" w14:paraId="4BC8C69E" w14:textId="77777777" w:rsidTr="00332C01">
        <w:tc>
          <w:tcPr>
            <w:tcW w:w="1885" w:type="dxa"/>
          </w:tcPr>
          <w:p w14:paraId="30898725" w14:textId="1BBFFCCF" w:rsidR="00BD4BAA" w:rsidRDefault="00332C01" w:rsidP="00E75CF1">
            <w:pPr>
              <w:spacing w:after="120"/>
            </w:pPr>
            <w:r>
              <w:t>Industrial All.</w:t>
            </w:r>
          </w:p>
        </w:tc>
        <w:tc>
          <w:tcPr>
            <w:tcW w:w="3780" w:type="dxa"/>
          </w:tcPr>
          <w:p w14:paraId="27126352" w14:textId="33F07870" w:rsidR="00BD4BAA" w:rsidRDefault="00332C01" w:rsidP="00683BCC">
            <w:pPr>
              <w:spacing w:after="120"/>
              <w:jc w:val="center"/>
            </w:pPr>
            <w:r>
              <w:t>28 months; 15% combined cap</w:t>
            </w:r>
          </w:p>
        </w:tc>
        <w:tc>
          <w:tcPr>
            <w:tcW w:w="3685" w:type="dxa"/>
          </w:tcPr>
          <w:p w14:paraId="07791935" w14:textId="7F0448B1" w:rsidR="00BD4BAA" w:rsidRDefault="00332C01" w:rsidP="00683BCC">
            <w:pPr>
              <w:spacing w:after="120"/>
              <w:jc w:val="center"/>
            </w:pPr>
            <w:r>
              <w:t>16 months; 15% combined cap</w:t>
            </w:r>
          </w:p>
        </w:tc>
      </w:tr>
      <w:tr w:rsidR="00BD4BAA" w14:paraId="52E1C0B4" w14:textId="77777777" w:rsidTr="00332C01">
        <w:tc>
          <w:tcPr>
            <w:tcW w:w="1885" w:type="dxa"/>
          </w:tcPr>
          <w:p w14:paraId="7078765C" w14:textId="37F5239E" w:rsidR="00BD4BAA" w:rsidRDefault="00E5008A" w:rsidP="00E75CF1">
            <w:pPr>
              <w:spacing w:after="120"/>
            </w:pPr>
            <w:r>
              <w:t>Manulife</w:t>
            </w:r>
          </w:p>
        </w:tc>
        <w:tc>
          <w:tcPr>
            <w:tcW w:w="3780" w:type="dxa"/>
          </w:tcPr>
          <w:p w14:paraId="586194E4" w14:textId="2BB5279F" w:rsidR="00BD4BAA" w:rsidRDefault="00E5008A" w:rsidP="00683BCC">
            <w:pPr>
              <w:spacing w:after="120"/>
              <w:jc w:val="center"/>
            </w:pPr>
            <w:r>
              <w:t>28 months;15% combined cap</w:t>
            </w:r>
          </w:p>
        </w:tc>
        <w:tc>
          <w:tcPr>
            <w:tcW w:w="3685" w:type="dxa"/>
          </w:tcPr>
          <w:p w14:paraId="3299D734" w14:textId="0FA1CFC2" w:rsidR="00BD4BAA" w:rsidRDefault="00E5008A" w:rsidP="00683BCC">
            <w:pPr>
              <w:spacing w:after="120"/>
              <w:jc w:val="center"/>
            </w:pPr>
            <w:r>
              <w:t>16 months: 15% combined cap</w:t>
            </w:r>
          </w:p>
        </w:tc>
      </w:tr>
      <w:tr w:rsidR="00BD4BAA" w14:paraId="51D10329" w14:textId="77777777" w:rsidTr="00332C01">
        <w:tc>
          <w:tcPr>
            <w:tcW w:w="1885" w:type="dxa"/>
          </w:tcPr>
          <w:p w14:paraId="39AA98ED" w14:textId="282A862E" w:rsidR="00BD4BAA" w:rsidRDefault="00E5008A" w:rsidP="00E75CF1">
            <w:pPr>
              <w:spacing w:after="120"/>
            </w:pPr>
            <w:r>
              <w:t>Desjardins</w:t>
            </w:r>
          </w:p>
        </w:tc>
        <w:tc>
          <w:tcPr>
            <w:tcW w:w="3780" w:type="dxa"/>
          </w:tcPr>
          <w:p w14:paraId="60B98646" w14:textId="74326239" w:rsidR="00BD4BAA" w:rsidRDefault="00E5008A" w:rsidP="00683BCC">
            <w:pPr>
              <w:spacing w:after="120"/>
              <w:jc w:val="center"/>
            </w:pPr>
            <w:r>
              <w:t>28 months; 15% combined cap</w:t>
            </w:r>
          </w:p>
        </w:tc>
        <w:tc>
          <w:tcPr>
            <w:tcW w:w="3685" w:type="dxa"/>
          </w:tcPr>
          <w:p w14:paraId="486124E3" w14:textId="2E6F1B3B" w:rsidR="00BD4BAA" w:rsidRDefault="00E5008A" w:rsidP="00683BCC">
            <w:pPr>
              <w:spacing w:after="120"/>
              <w:jc w:val="center"/>
            </w:pPr>
            <w:r>
              <w:t>16 months; 15% combined cap</w:t>
            </w:r>
          </w:p>
        </w:tc>
      </w:tr>
      <w:tr w:rsidR="00BD4BAA" w14:paraId="1184CC68" w14:textId="77777777" w:rsidTr="00332C01">
        <w:tc>
          <w:tcPr>
            <w:tcW w:w="1885" w:type="dxa"/>
          </w:tcPr>
          <w:p w14:paraId="5A732EE8" w14:textId="16FD1286" w:rsidR="00BD4BAA" w:rsidRDefault="00E5008A" w:rsidP="00E75CF1">
            <w:pPr>
              <w:spacing w:after="120"/>
            </w:pPr>
            <w:r>
              <w:t>Green Shield</w:t>
            </w:r>
          </w:p>
        </w:tc>
        <w:tc>
          <w:tcPr>
            <w:tcW w:w="3780" w:type="dxa"/>
          </w:tcPr>
          <w:p w14:paraId="0FDB7385" w14:textId="1E88D4EF" w:rsidR="00BD4BAA" w:rsidRDefault="00683BCC" w:rsidP="00683BCC">
            <w:pPr>
              <w:spacing w:after="120"/>
              <w:jc w:val="center"/>
            </w:pPr>
            <w:r>
              <w:t>n/a</w:t>
            </w:r>
          </w:p>
        </w:tc>
        <w:tc>
          <w:tcPr>
            <w:tcW w:w="3685" w:type="dxa"/>
          </w:tcPr>
          <w:p w14:paraId="70EB64BE" w14:textId="3BD1D30C" w:rsidR="00BD4BAA" w:rsidRDefault="00683BCC" w:rsidP="00683BCC">
            <w:pPr>
              <w:spacing w:after="120"/>
              <w:jc w:val="center"/>
            </w:pPr>
            <w:r>
              <w:t>16 months; 15% combined cap (health/dental only)</w:t>
            </w:r>
          </w:p>
        </w:tc>
      </w:tr>
    </w:tbl>
    <w:p w14:paraId="538E6301" w14:textId="67C4ED83" w:rsidR="000721E8" w:rsidRDefault="000721E8" w:rsidP="00E75CF1">
      <w:pPr>
        <w:spacing w:after="120"/>
      </w:pPr>
    </w:p>
    <w:p w14:paraId="08D8B82C" w14:textId="524016B8" w:rsidR="00066153" w:rsidRDefault="00066153" w:rsidP="00E75CF1">
      <w:pPr>
        <w:spacing w:after="120"/>
      </w:pPr>
      <w:r>
        <w:t xml:space="preserve">For the most part, the </w:t>
      </w:r>
      <w:r w:rsidR="000215F4">
        <w:t>rate guarantees and first renewal caps</w:t>
      </w:r>
      <w:r w:rsidR="00161F6D">
        <w:t xml:space="preserve"> are similar except for one significant differential.  Sun Life have offered a lower combined global renewal cap of 10% on the County’s experience-rated STD</w:t>
      </w:r>
      <w:r w:rsidR="009C7C38">
        <w:t>, extended health care and dental benefits</w:t>
      </w:r>
      <w:r w:rsidR="008E14E2">
        <w:t>,</w:t>
      </w:r>
      <w:r w:rsidR="004C5166">
        <w:t xml:space="preserve"> compared to 15%</w:t>
      </w:r>
      <w:r w:rsidR="00E542A7">
        <w:t xml:space="preserve"> quoted</w:t>
      </w:r>
      <w:r w:rsidR="00AC2013">
        <w:t xml:space="preserve"> </w:t>
      </w:r>
      <w:r w:rsidR="00BE01ED">
        <w:t>by all other insurers.</w:t>
      </w:r>
      <w:r w:rsidR="00CF6BF1">
        <w:t xml:space="preserve">  </w:t>
      </w:r>
    </w:p>
    <w:p w14:paraId="5584FB0A" w14:textId="362EB037" w:rsidR="00CF6BF1" w:rsidRDefault="00CF6BF1" w:rsidP="00E75CF1">
      <w:pPr>
        <w:spacing w:after="120"/>
      </w:pPr>
      <w:r>
        <w:t>Based on the analysis conducted by Mosey and Mosey</w:t>
      </w:r>
      <w:r w:rsidR="003B6804">
        <w:t>, the lower renewal cap offered by Sun Life at the first scheduled renewal for these benefits would generate an estimated annual savings of 5%</w:t>
      </w:r>
      <w:r w:rsidR="00BA7A76">
        <w:t>, or in excess of $118,000, which would more than offset the overall savings initially offered by Industrial Alliance.</w:t>
      </w:r>
    </w:p>
    <w:p w14:paraId="7BBE0FF2" w14:textId="09D7D495" w:rsidR="00B4762C" w:rsidRDefault="00217849" w:rsidP="00C81569">
      <w:pPr>
        <w:spacing w:after="120"/>
      </w:pPr>
      <w:r>
        <w:lastRenderedPageBreak/>
        <w:t>Mosey and Mosey recommends maintaining benefits with the incumbent carrier, Sun Life</w:t>
      </w:r>
      <w:r w:rsidR="00832851">
        <w:t xml:space="preserve">.  </w:t>
      </w:r>
      <w:r w:rsidR="00D656BA">
        <w:t>The extended rate guarantees result in additional long-term savings considering the first renewal for each benefits will be</w:t>
      </w:r>
      <w:r w:rsidR="006062F8">
        <w:t xml:space="preserve"> April 1, 2022 for STD, extended health care and dental benefits</w:t>
      </w:r>
      <w:r w:rsidR="006C6468">
        <w:t>, and April 1, 2023 for basic life and LTD benefits</w:t>
      </w:r>
      <w:r w:rsidR="00FD71E3">
        <w:t xml:space="preserve">.  Staff concur with Mosey and Mosey’s recommendation to </w:t>
      </w:r>
      <w:r w:rsidR="00A608F3">
        <w:t>remain with Sun Life.</w:t>
      </w:r>
    </w:p>
    <w:p w14:paraId="42F5373C" w14:textId="77777777" w:rsidR="00893CEB" w:rsidRDefault="00893CEB" w:rsidP="00893CEB">
      <w:pPr>
        <w:pStyle w:val="Heading2"/>
      </w:pPr>
      <w:r>
        <w:t>Legal and Legislated Requirements</w:t>
      </w:r>
    </w:p>
    <w:p w14:paraId="523ECA1F" w14:textId="669E8645" w:rsidR="00893CEB" w:rsidRDefault="0092130B" w:rsidP="00893CEB">
      <w:r>
        <w:t>None</w:t>
      </w:r>
    </w:p>
    <w:p w14:paraId="4DDCF7F4" w14:textId="77777777" w:rsidR="00893CEB" w:rsidRDefault="00893CEB" w:rsidP="00893CEB">
      <w:pPr>
        <w:pStyle w:val="Heading2"/>
      </w:pPr>
      <w:r>
        <w:t>Financial and Resource Implications</w:t>
      </w:r>
    </w:p>
    <w:p w14:paraId="31212CAD" w14:textId="4864BBE9" w:rsidR="00893CEB" w:rsidRPr="000F4322" w:rsidRDefault="000F5675" w:rsidP="00893CEB">
      <w:r>
        <w:t>The annual cost to renew the group benefit policy with Sun Life Financial is a reduction of approximately $</w:t>
      </w:r>
      <w:r w:rsidR="00E04A72">
        <w:t>71,212 including provincial sales tax.</w:t>
      </w:r>
    </w:p>
    <w:p w14:paraId="60BBA4F0" w14:textId="77777777" w:rsidR="00893CEB" w:rsidRDefault="00893CEB" w:rsidP="00893CEB">
      <w:pPr>
        <w:pStyle w:val="Heading1"/>
      </w:pPr>
      <w:r>
        <w:t>Relevant Consultation</w:t>
      </w:r>
    </w:p>
    <w:p w14:paraId="19B37EF4" w14:textId="77777777" w:rsidR="00893CEB" w:rsidRDefault="00317D74" w:rsidP="00893CEB">
      <w:sdt>
        <w:sdtPr>
          <w:id w:val="277615633"/>
          <w14:checkbox>
            <w14:checked w14:val="0"/>
            <w14:checkedState w14:val="2612" w14:font="MS Gothic"/>
            <w14:uncheckedState w14:val="2610" w14:font="MS Gothic"/>
          </w14:checkbox>
        </w:sdtPr>
        <w:sdtEndPr/>
        <w:sdtContent>
          <w:r w:rsidR="00893CEB">
            <w:rPr>
              <w:rFonts w:ascii="MS Gothic" w:eastAsia="MS Gothic" w:hAnsi="MS Gothic" w:hint="eastAsia"/>
            </w:rPr>
            <w:t>☐</w:t>
          </w:r>
        </w:sdtContent>
      </w:sdt>
      <w:r w:rsidR="00893CEB">
        <w:tab/>
        <w:t>Internal (list)</w:t>
      </w:r>
    </w:p>
    <w:p w14:paraId="161A2279" w14:textId="38802C95" w:rsidR="00893CEB" w:rsidRDefault="00317D74" w:rsidP="00893CEB">
      <w:sdt>
        <w:sdtPr>
          <w:id w:val="148943250"/>
          <w14:checkbox>
            <w14:checked w14:val="1"/>
            <w14:checkedState w14:val="2612" w14:font="MS Gothic"/>
            <w14:uncheckedState w14:val="2610" w14:font="MS Gothic"/>
          </w14:checkbox>
        </w:sdtPr>
        <w:sdtEndPr/>
        <w:sdtContent>
          <w:r w:rsidR="0021741F">
            <w:rPr>
              <w:rFonts w:ascii="MS Gothic" w:eastAsia="MS Gothic" w:hAnsi="MS Gothic" w:hint="eastAsia"/>
            </w:rPr>
            <w:t>☒</w:t>
          </w:r>
        </w:sdtContent>
      </w:sdt>
      <w:r w:rsidR="00893CEB">
        <w:tab/>
        <w:t xml:space="preserve">External </w:t>
      </w:r>
      <w:r w:rsidR="0021741F">
        <w:t>Mosey and Mosey Benefit Consultants</w:t>
      </w:r>
    </w:p>
    <w:p w14:paraId="03A9288B" w14:textId="77777777" w:rsidR="00893CEB" w:rsidRDefault="00893CEB" w:rsidP="00893CEB">
      <w:pPr>
        <w:pStyle w:val="Heading3"/>
      </w:pPr>
      <w:r>
        <w:t>Appendices and Attachments</w:t>
      </w:r>
    </w:p>
    <w:p w14:paraId="0B8512E6" w14:textId="17E9CC95" w:rsidR="00893CEB" w:rsidRDefault="0021741F" w:rsidP="00893CEB">
      <w:r w:rsidRPr="0021741F">
        <w:t>None</w:t>
      </w:r>
    </w:p>
    <w:p w14:paraId="2BC9B21B" w14:textId="3BA380F1" w:rsidR="00100AA2" w:rsidRDefault="00100AA2" w:rsidP="00A3226F">
      <w:pPr>
        <w:tabs>
          <w:tab w:val="right" w:pos="9360"/>
        </w:tabs>
        <w:rPr>
          <w:rFonts w:cs="Arial"/>
        </w:rPr>
      </w:pPr>
    </w:p>
    <w:p w14:paraId="650B799C" w14:textId="7FDEEF3A" w:rsidR="00CC7816" w:rsidRPr="00CC7816" w:rsidRDefault="00CC7816" w:rsidP="00CC7816">
      <w:pPr>
        <w:spacing w:after="120"/>
        <w:jc w:val="center"/>
        <w:rPr>
          <w:lang w:val="en-CA"/>
        </w:rPr>
      </w:pPr>
    </w:p>
    <w:sectPr w:rsidR="00CC7816" w:rsidRPr="00CC7816" w:rsidSect="00906BC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14A4E" w14:textId="77777777" w:rsidR="00E644A7" w:rsidRDefault="00E644A7" w:rsidP="004B6AC1">
      <w:pPr>
        <w:spacing w:after="0" w:line="240" w:lineRule="auto"/>
      </w:pPr>
      <w:r>
        <w:separator/>
      </w:r>
    </w:p>
  </w:endnote>
  <w:endnote w:type="continuationSeparator" w:id="0">
    <w:p w14:paraId="0776475E" w14:textId="77777777" w:rsidR="00E644A7" w:rsidRDefault="00E644A7" w:rsidP="004B6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non-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115DD" w14:textId="526ADCAE" w:rsidR="00C5196E" w:rsidRDefault="0077682C" w:rsidP="00906BC5">
    <w:pPr>
      <w:pStyle w:val="Footer"/>
      <w:jc w:val="center"/>
    </w:pPr>
    <w:r>
      <w:rPr>
        <w:sz w:val="22"/>
        <w:szCs w:val="22"/>
      </w:rPr>
      <w:t>HRR</w:t>
    </w:r>
    <w:r w:rsidR="00906BC5">
      <w:rPr>
        <w:sz w:val="22"/>
        <w:szCs w:val="22"/>
      </w:rPr>
      <w:t>-</w:t>
    </w:r>
    <w:r>
      <w:rPr>
        <w:sz w:val="22"/>
        <w:szCs w:val="22"/>
      </w:rPr>
      <w:t>CW</w:t>
    </w:r>
    <w:r w:rsidR="00906BC5">
      <w:rPr>
        <w:sz w:val="22"/>
        <w:szCs w:val="22"/>
      </w:rPr>
      <w:t>-</w:t>
    </w:r>
    <w:r>
      <w:rPr>
        <w:sz w:val="22"/>
        <w:szCs w:val="22"/>
      </w:rPr>
      <w:t>02</w:t>
    </w:r>
    <w:r w:rsidR="00906BC5">
      <w:rPr>
        <w:sz w:val="22"/>
        <w:szCs w:val="22"/>
      </w:rPr>
      <w:t>-</w:t>
    </w:r>
    <w:r>
      <w:rPr>
        <w:sz w:val="22"/>
        <w:szCs w:val="22"/>
      </w:rPr>
      <w:t>21</w:t>
    </w:r>
    <w:r w:rsidR="00906BC5">
      <w:t xml:space="preserve"> </w:t>
    </w:r>
    <w:r w:rsidR="00906BC5">
      <w:tab/>
    </w:r>
    <w:sdt>
      <w:sdtPr>
        <w:id w:val="-1318193851"/>
        <w:docPartObj>
          <w:docPartGallery w:val="Page Numbers (Bottom of Page)"/>
          <w:docPartUnique/>
        </w:docPartObj>
      </w:sdtPr>
      <w:sdtEndPr>
        <w:rPr>
          <w:noProof/>
        </w:rPr>
      </w:sdtEndPr>
      <w:sdtContent>
        <w:r w:rsidR="00906BC5">
          <w:fldChar w:fldCharType="begin"/>
        </w:r>
        <w:r w:rsidR="00906BC5">
          <w:instrText xml:space="preserve"> PAGE   \* MERGEFORMAT </w:instrText>
        </w:r>
        <w:r w:rsidR="00906BC5">
          <w:fldChar w:fldCharType="separate"/>
        </w:r>
        <w:r w:rsidR="00906BC5">
          <w:t>1</w:t>
        </w:r>
        <w:r w:rsidR="00906BC5">
          <w:rPr>
            <w:noProof/>
          </w:rPr>
          <w:fldChar w:fldCharType="end"/>
        </w:r>
      </w:sdtContent>
    </w:sdt>
    <w:r w:rsidR="00906BC5">
      <w:rPr>
        <w:noProof/>
      </w:rPr>
      <w:tab/>
      <w:t>Date:</w:t>
    </w:r>
    <w:r>
      <w:rPr>
        <w:noProof/>
      </w:rPr>
      <w:t xml:space="preserve">  January 28,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DA507" w14:textId="77777777" w:rsidR="00E644A7" w:rsidRDefault="00E644A7" w:rsidP="004B6AC1">
      <w:pPr>
        <w:spacing w:after="0" w:line="240" w:lineRule="auto"/>
      </w:pPr>
      <w:r>
        <w:separator/>
      </w:r>
    </w:p>
  </w:footnote>
  <w:footnote w:type="continuationSeparator" w:id="0">
    <w:p w14:paraId="01C6D76B" w14:textId="77777777" w:rsidR="00E644A7" w:rsidRDefault="00E644A7" w:rsidP="004B6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42CC8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46A79"/>
    <w:multiLevelType w:val="hybridMultilevel"/>
    <w:tmpl w:val="FA24F830"/>
    <w:lvl w:ilvl="0" w:tplc="E3F4973A">
      <w:start w:val="1"/>
      <w:numFmt w:val="decimal"/>
      <w:pStyle w:val="Style1"/>
      <w:lvlText w:val="4.0%1"/>
      <w:lvlJc w:val="left"/>
      <w:pPr>
        <w:ind w:left="720" w:hanging="360"/>
      </w:pPr>
      <w:rPr>
        <w:rFonts w:hint="default"/>
      </w:rPr>
    </w:lvl>
    <w:lvl w:ilvl="1" w:tplc="04090019" w:tentative="1">
      <w:start w:val="1"/>
      <w:numFmt w:val="lowerLetter"/>
      <w:pStyle w:val="Style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F37C0"/>
    <w:multiLevelType w:val="hybridMultilevel"/>
    <w:tmpl w:val="E87A4A4E"/>
    <w:lvl w:ilvl="0" w:tplc="EE2253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3E3353"/>
    <w:multiLevelType w:val="multilevel"/>
    <w:tmpl w:val="53FC4F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E96801"/>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5" w15:restartNumberingAfterBreak="0">
    <w:nsid w:val="2042488C"/>
    <w:multiLevelType w:val="hybridMultilevel"/>
    <w:tmpl w:val="B76C56B0"/>
    <w:lvl w:ilvl="0" w:tplc="85B6405A">
      <w:start w:val="1"/>
      <w:numFmt w:val="bullet"/>
      <w:lvlText w:val=""/>
      <w:lvlJc w:val="left"/>
      <w:pPr>
        <w:ind w:left="720" w:hanging="360"/>
      </w:pPr>
      <w:rPr>
        <w:rFonts w:ascii="Wingdings" w:hAnsi="Wingdings"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3B61C8"/>
    <w:multiLevelType w:val="multilevel"/>
    <w:tmpl w:val="F656089C"/>
    <w:styleLink w:val="PurchasingProcedure"/>
    <w:lvl w:ilvl="0">
      <w:start w:val="1"/>
      <w:numFmt w:val="decimal"/>
      <w:lvlText w:val="%1.0"/>
      <w:lvlJc w:val="left"/>
      <w:pPr>
        <w:ind w:left="720" w:hanging="720"/>
      </w:pPr>
      <w:rPr>
        <w:rFonts w:hint="default"/>
      </w:rPr>
    </w:lvl>
    <w:lvl w:ilvl="1">
      <w:start w:val="1"/>
      <w:numFmt w:val="decimalZero"/>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58E6231"/>
    <w:multiLevelType w:val="hybridMultilevel"/>
    <w:tmpl w:val="193A4B10"/>
    <w:lvl w:ilvl="0" w:tplc="222687B0">
      <w:start w:val="1"/>
      <w:numFmt w:val="decimalZero"/>
      <w:pStyle w:val="Heading5purchpol"/>
      <w:lvlText w:val="5.%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69261F3"/>
    <w:multiLevelType w:val="multilevel"/>
    <w:tmpl w:val="105CE0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EA11EE"/>
    <w:multiLevelType w:val="hybridMultilevel"/>
    <w:tmpl w:val="50345CC0"/>
    <w:lvl w:ilvl="0" w:tplc="A1A013C4">
      <w:start w:val="1"/>
      <w:numFmt w:val="decimal"/>
      <w:pStyle w:val="Level1"/>
      <w:lvlText w:val="%1."/>
      <w:lvlJc w:val="left"/>
      <w:pPr>
        <w:ind w:left="720" w:hanging="360"/>
      </w:pPr>
      <w:rPr>
        <w:rFonts w:hint="default"/>
        <w:b w:val="0"/>
        <w:bCs/>
      </w:rPr>
    </w:lvl>
    <w:lvl w:ilvl="1" w:tplc="9D46F2DA">
      <w:start w:val="1"/>
      <w:numFmt w:val="lowerLetter"/>
      <w:pStyle w:val="Level2"/>
      <w:lvlText w:val="%2)"/>
      <w:lvlJc w:val="left"/>
      <w:pPr>
        <w:ind w:left="1440" w:hanging="360"/>
      </w:pPr>
      <w:rPr>
        <w:rFonts w:hint="default"/>
      </w:rPr>
    </w:lvl>
    <w:lvl w:ilvl="2" w:tplc="8460FF34">
      <w:start w:val="1"/>
      <w:numFmt w:val="lowerRoman"/>
      <w:pStyle w:val="Level3"/>
      <w:lvlText w:val="%3."/>
      <w:lvlJc w:val="right"/>
      <w:pPr>
        <w:ind w:left="2160" w:hanging="180"/>
      </w:pPr>
    </w:lvl>
    <w:lvl w:ilvl="3" w:tplc="D3F87A96">
      <w:start w:val="1"/>
      <w:numFmt w:val="bullet"/>
      <w:pStyle w:val="Level4"/>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B4DF5"/>
    <w:multiLevelType w:val="hybridMultilevel"/>
    <w:tmpl w:val="BA862202"/>
    <w:lvl w:ilvl="0" w:tplc="03E01368">
      <w:start w:val="1"/>
      <w:numFmt w:val="decimalZero"/>
      <w:pStyle w:val="Heading8Purchpol"/>
      <w:lvlText w:val="8.%1"/>
      <w:lvlJc w:val="left"/>
      <w:pPr>
        <w:tabs>
          <w:tab w:val="num" w:pos="720"/>
        </w:tabs>
        <w:ind w:left="720" w:hanging="720"/>
      </w:pPr>
      <w:rPr>
        <w:rFonts w:hint="default"/>
      </w:rPr>
    </w:lvl>
    <w:lvl w:ilvl="1" w:tplc="FFFFFFFF">
      <w:start w:val="2"/>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1390DE5"/>
    <w:multiLevelType w:val="multilevel"/>
    <w:tmpl w:val="A0986D8E"/>
    <w:styleLink w:val="Agreement"/>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83A4974"/>
    <w:multiLevelType w:val="hybridMultilevel"/>
    <w:tmpl w:val="398E6AA8"/>
    <w:lvl w:ilvl="0" w:tplc="20CA5DDE">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3D9A0C26"/>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4" w15:restartNumberingAfterBreak="0">
    <w:nsid w:val="3F572DA6"/>
    <w:multiLevelType w:val="multilevel"/>
    <w:tmpl w:val="545CA080"/>
    <w:lvl w:ilvl="0">
      <w:start w:val="1"/>
      <w:numFmt w:val="decimal"/>
      <w:lvlText w:val="%1.0"/>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80" w:hanging="36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530" w:hanging="72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ind w:left="3240" w:hanging="108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3805645"/>
    <w:multiLevelType w:val="hybridMultilevel"/>
    <w:tmpl w:val="472E2682"/>
    <w:lvl w:ilvl="0" w:tplc="91D4004A">
      <w:start w:val="1"/>
      <w:numFmt w:val="lowerRoman"/>
      <w:pStyle w:val="Level40"/>
      <w:lvlText w:val="%1."/>
      <w:lvlJc w:val="righ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Level40"/>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204F3F"/>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7" w15:restartNumberingAfterBreak="0">
    <w:nsid w:val="4A2D568A"/>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8" w15:restartNumberingAfterBreak="0">
    <w:nsid w:val="50AE5AB2"/>
    <w:multiLevelType w:val="multilevel"/>
    <w:tmpl w:val="D7C66C50"/>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b w:val="0"/>
      </w:rPr>
    </w:lvl>
    <w:lvl w:ilvl="2">
      <w:start w:val="1"/>
      <w:numFmt w:val="decimal"/>
      <w:lvlText w:val="%1.%2.%3"/>
      <w:lvlJc w:val="left"/>
      <w:pPr>
        <w:ind w:left="1980" w:hanging="72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6792AD7"/>
    <w:multiLevelType w:val="multilevel"/>
    <w:tmpl w:val="46A80ED0"/>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pStyle w:val="Subheading"/>
      <w:lvlText w:val="%5)"/>
      <w:lvlJc w:val="left"/>
      <w:pPr>
        <w:ind w:left="1418"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0" w15:restartNumberingAfterBreak="0">
    <w:nsid w:val="63D40304"/>
    <w:multiLevelType w:val="hybridMultilevel"/>
    <w:tmpl w:val="31B8DF4C"/>
    <w:lvl w:ilvl="0" w:tplc="134EDCC6">
      <w:start w:val="1"/>
      <w:numFmt w:val="lowerRoman"/>
      <w:pStyle w:val="subheading2"/>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1" w15:restartNumberingAfterBreak="0">
    <w:nsid w:val="716C1984"/>
    <w:multiLevelType w:val="hybridMultilevel"/>
    <w:tmpl w:val="DB76E4EA"/>
    <w:lvl w:ilvl="0" w:tplc="85B6405A">
      <w:start w:val="1"/>
      <w:numFmt w:val="bullet"/>
      <w:lvlText w:val=""/>
      <w:lvlJc w:val="left"/>
      <w:pPr>
        <w:tabs>
          <w:tab w:val="num" w:pos="1440"/>
        </w:tabs>
        <w:ind w:left="1440" w:hanging="360"/>
      </w:pPr>
      <w:rPr>
        <w:rFonts w:ascii="Wingdings" w:hAnsi="Wingding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1DE3430"/>
    <w:multiLevelType w:val="hybridMultilevel"/>
    <w:tmpl w:val="A4F022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14"/>
  </w:num>
  <w:num w:numId="5">
    <w:abstractNumId w:val="2"/>
  </w:num>
  <w:num w:numId="6">
    <w:abstractNumId w:val="15"/>
  </w:num>
  <w:num w:numId="7">
    <w:abstractNumId w:val="7"/>
  </w:num>
  <w:num w:numId="8">
    <w:abstractNumId w:val="10"/>
  </w:num>
  <w:num w:numId="9">
    <w:abstractNumId w:val="21"/>
  </w:num>
  <w:num w:numId="10">
    <w:abstractNumId w:val="22"/>
  </w:num>
  <w:num w:numId="11">
    <w:abstractNumId w:val="1"/>
  </w:num>
  <w:num w:numId="12">
    <w:abstractNumId w:val="19"/>
  </w:num>
  <w:num w:numId="13">
    <w:abstractNumId w:val="6"/>
  </w:num>
  <w:num w:numId="14">
    <w:abstractNumId w:val="5"/>
  </w:num>
  <w:num w:numId="15">
    <w:abstractNumId w:val="3"/>
  </w:num>
  <w:num w:numId="16">
    <w:abstractNumId w:val="20"/>
  </w:num>
  <w:num w:numId="17">
    <w:abstractNumId w:val="1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8"/>
  </w:num>
  <w:num w:numId="33">
    <w:abstractNumId w:val="16"/>
  </w:num>
  <w:num w:numId="34">
    <w:abstractNumId w:val="4"/>
  </w:num>
  <w:num w:numId="35">
    <w:abstractNumId w:val="17"/>
  </w:num>
  <w:num w:numId="36">
    <w:abstractNumId w:val="13"/>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49"/>
    <w:rsid w:val="00001BE5"/>
    <w:rsid w:val="00002276"/>
    <w:rsid w:val="000061C3"/>
    <w:rsid w:val="00012B58"/>
    <w:rsid w:val="00016743"/>
    <w:rsid w:val="000215F4"/>
    <w:rsid w:val="0003157D"/>
    <w:rsid w:val="000346AB"/>
    <w:rsid w:val="000347D9"/>
    <w:rsid w:val="00035D60"/>
    <w:rsid w:val="00041374"/>
    <w:rsid w:val="000447BA"/>
    <w:rsid w:val="00047678"/>
    <w:rsid w:val="00047A0A"/>
    <w:rsid w:val="00047E78"/>
    <w:rsid w:val="000522B6"/>
    <w:rsid w:val="00054A60"/>
    <w:rsid w:val="00056890"/>
    <w:rsid w:val="0005699E"/>
    <w:rsid w:val="00065208"/>
    <w:rsid w:val="00066153"/>
    <w:rsid w:val="000721E8"/>
    <w:rsid w:val="00072693"/>
    <w:rsid w:val="0007662D"/>
    <w:rsid w:val="0008166C"/>
    <w:rsid w:val="00083A40"/>
    <w:rsid w:val="00092CBB"/>
    <w:rsid w:val="00094BA8"/>
    <w:rsid w:val="000A5195"/>
    <w:rsid w:val="000A665D"/>
    <w:rsid w:val="000B2FC6"/>
    <w:rsid w:val="000B7C11"/>
    <w:rsid w:val="000C4A51"/>
    <w:rsid w:val="000D1391"/>
    <w:rsid w:val="000D3D6B"/>
    <w:rsid w:val="000D707D"/>
    <w:rsid w:val="000E2028"/>
    <w:rsid w:val="000F339B"/>
    <w:rsid w:val="000F5675"/>
    <w:rsid w:val="000F7DE2"/>
    <w:rsid w:val="00100AA2"/>
    <w:rsid w:val="001034BB"/>
    <w:rsid w:val="001163EF"/>
    <w:rsid w:val="00120301"/>
    <w:rsid w:val="00127940"/>
    <w:rsid w:val="00134184"/>
    <w:rsid w:val="00134B93"/>
    <w:rsid w:val="00142D96"/>
    <w:rsid w:val="00143833"/>
    <w:rsid w:val="001467F1"/>
    <w:rsid w:val="00146DCA"/>
    <w:rsid w:val="00147696"/>
    <w:rsid w:val="00150D66"/>
    <w:rsid w:val="00150E30"/>
    <w:rsid w:val="001512C3"/>
    <w:rsid w:val="00156CFC"/>
    <w:rsid w:val="00160AAD"/>
    <w:rsid w:val="0016145C"/>
    <w:rsid w:val="00161F6D"/>
    <w:rsid w:val="00164A48"/>
    <w:rsid w:val="00172189"/>
    <w:rsid w:val="00173845"/>
    <w:rsid w:val="00183B1B"/>
    <w:rsid w:val="00187C45"/>
    <w:rsid w:val="00194DFD"/>
    <w:rsid w:val="00197815"/>
    <w:rsid w:val="001A0805"/>
    <w:rsid w:val="001A0A21"/>
    <w:rsid w:val="001A13FB"/>
    <w:rsid w:val="001A31CE"/>
    <w:rsid w:val="001B2CC3"/>
    <w:rsid w:val="001B7EB2"/>
    <w:rsid w:val="001C2C22"/>
    <w:rsid w:val="001C3431"/>
    <w:rsid w:val="001D240E"/>
    <w:rsid w:val="001D724D"/>
    <w:rsid w:val="001E0803"/>
    <w:rsid w:val="001E1FAD"/>
    <w:rsid w:val="001F0103"/>
    <w:rsid w:val="001F30F7"/>
    <w:rsid w:val="001F4F23"/>
    <w:rsid w:val="001F5A84"/>
    <w:rsid w:val="00204557"/>
    <w:rsid w:val="002072A5"/>
    <w:rsid w:val="0021401C"/>
    <w:rsid w:val="0021741F"/>
    <w:rsid w:val="00217849"/>
    <w:rsid w:val="00225132"/>
    <w:rsid w:val="00234FC9"/>
    <w:rsid w:val="00235663"/>
    <w:rsid w:val="002360C1"/>
    <w:rsid w:val="00242EEE"/>
    <w:rsid w:val="0024545F"/>
    <w:rsid w:val="00247AC9"/>
    <w:rsid w:val="002530D6"/>
    <w:rsid w:val="00256E92"/>
    <w:rsid w:val="002656CA"/>
    <w:rsid w:val="00266F3F"/>
    <w:rsid w:val="00270CAD"/>
    <w:rsid w:val="00271FE9"/>
    <w:rsid w:val="00273924"/>
    <w:rsid w:val="00280906"/>
    <w:rsid w:val="0028365F"/>
    <w:rsid w:val="002861C2"/>
    <w:rsid w:val="002874BE"/>
    <w:rsid w:val="002874DF"/>
    <w:rsid w:val="00287670"/>
    <w:rsid w:val="00290CFA"/>
    <w:rsid w:val="0029130B"/>
    <w:rsid w:val="00296EB5"/>
    <w:rsid w:val="002A3088"/>
    <w:rsid w:val="002A52DB"/>
    <w:rsid w:val="002A7872"/>
    <w:rsid w:val="002B0815"/>
    <w:rsid w:val="002B29C0"/>
    <w:rsid w:val="002B6CFB"/>
    <w:rsid w:val="002C4773"/>
    <w:rsid w:val="002C7C57"/>
    <w:rsid w:val="002E1CB2"/>
    <w:rsid w:val="002F101C"/>
    <w:rsid w:val="00301729"/>
    <w:rsid w:val="00306B3C"/>
    <w:rsid w:val="003079D0"/>
    <w:rsid w:val="003129C1"/>
    <w:rsid w:val="00317D74"/>
    <w:rsid w:val="00321ABB"/>
    <w:rsid w:val="00321D71"/>
    <w:rsid w:val="00323913"/>
    <w:rsid w:val="00330028"/>
    <w:rsid w:val="00332C01"/>
    <w:rsid w:val="00345E23"/>
    <w:rsid w:val="003475C7"/>
    <w:rsid w:val="00351231"/>
    <w:rsid w:val="003518BF"/>
    <w:rsid w:val="003529F9"/>
    <w:rsid w:val="00357106"/>
    <w:rsid w:val="00360ECB"/>
    <w:rsid w:val="00362D52"/>
    <w:rsid w:val="003718D9"/>
    <w:rsid w:val="003778B1"/>
    <w:rsid w:val="00390ED8"/>
    <w:rsid w:val="00395C32"/>
    <w:rsid w:val="00395D98"/>
    <w:rsid w:val="00396272"/>
    <w:rsid w:val="003A5FCE"/>
    <w:rsid w:val="003A67E8"/>
    <w:rsid w:val="003A79A4"/>
    <w:rsid w:val="003B136F"/>
    <w:rsid w:val="003B3676"/>
    <w:rsid w:val="003B6804"/>
    <w:rsid w:val="003C0A18"/>
    <w:rsid w:val="003C2067"/>
    <w:rsid w:val="003C2662"/>
    <w:rsid w:val="003C3831"/>
    <w:rsid w:val="003C76FD"/>
    <w:rsid w:val="003D0C0E"/>
    <w:rsid w:val="003D0D58"/>
    <w:rsid w:val="003D1F2E"/>
    <w:rsid w:val="003D740A"/>
    <w:rsid w:val="003E35B4"/>
    <w:rsid w:val="003E777E"/>
    <w:rsid w:val="003F1747"/>
    <w:rsid w:val="003F7749"/>
    <w:rsid w:val="00405DEF"/>
    <w:rsid w:val="00405FB1"/>
    <w:rsid w:val="00406F19"/>
    <w:rsid w:val="00411D6C"/>
    <w:rsid w:val="004159CC"/>
    <w:rsid w:val="004178A2"/>
    <w:rsid w:val="00417D54"/>
    <w:rsid w:val="004339E1"/>
    <w:rsid w:val="00435E44"/>
    <w:rsid w:val="00440064"/>
    <w:rsid w:val="0044177B"/>
    <w:rsid w:val="004417BE"/>
    <w:rsid w:val="00452615"/>
    <w:rsid w:val="00454906"/>
    <w:rsid w:val="004613D5"/>
    <w:rsid w:val="0046191D"/>
    <w:rsid w:val="0046421D"/>
    <w:rsid w:val="00477A45"/>
    <w:rsid w:val="00480B65"/>
    <w:rsid w:val="00485E14"/>
    <w:rsid w:val="0049193B"/>
    <w:rsid w:val="00491E68"/>
    <w:rsid w:val="00492CCA"/>
    <w:rsid w:val="00492FF2"/>
    <w:rsid w:val="004942B7"/>
    <w:rsid w:val="004968F0"/>
    <w:rsid w:val="004971CF"/>
    <w:rsid w:val="004A22C9"/>
    <w:rsid w:val="004A2B1C"/>
    <w:rsid w:val="004A76CC"/>
    <w:rsid w:val="004B41D3"/>
    <w:rsid w:val="004B5FDD"/>
    <w:rsid w:val="004B6AC1"/>
    <w:rsid w:val="004C0B58"/>
    <w:rsid w:val="004C490E"/>
    <w:rsid w:val="004C5166"/>
    <w:rsid w:val="004C7835"/>
    <w:rsid w:val="004D0970"/>
    <w:rsid w:val="004E0369"/>
    <w:rsid w:val="004E2C7F"/>
    <w:rsid w:val="004E4046"/>
    <w:rsid w:val="004E4338"/>
    <w:rsid w:val="004F648C"/>
    <w:rsid w:val="005023DA"/>
    <w:rsid w:val="005035E7"/>
    <w:rsid w:val="00510EA2"/>
    <w:rsid w:val="00521F7A"/>
    <w:rsid w:val="00522E23"/>
    <w:rsid w:val="00523C03"/>
    <w:rsid w:val="00525D1C"/>
    <w:rsid w:val="00536890"/>
    <w:rsid w:val="00541A44"/>
    <w:rsid w:val="00551165"/>
    <w:rsid w:val="0055306A"/>
    <w:rsid w:val="00561CEA"/>
    <w:rsid w:val="00563416"/>
    <w:rsid w:val="0056751C"/>
    <w:rsid w:val="005704F6"/>
    <w:rsid w:val="00587456"/>
    <w:rsid w:val="005A4A1B"/>
    <w:rsid w:val="005A6134"/>
    <w:rsid w:val="005A67D2"/>
    <w:rsid w:val="005B057E"/>
    <w:rsid w:val="005B63D4"/>
    <w:rsid w:val="005B6C22"/>
    <w:rsid w:val="005C3BB8"/>
    <w:rsid w:val="005D2F76"/>
    <w:rsid w:val="005D489B"/>
    <w:rsid w:val="005D5E63"/>
    <w:rsid w:val="005D7A9C"/>
    <w:rsid w:val="005E4B58"/>
    <w:rsid w:val="005E66FC"/>
    <w:rsid w:val="005E6E98"/>
    <w:rsid w:val="005F1B40"/>
    <w:rsid w:val="005F2561"/>
    <w:rsid w:val="005F7AB4"/>
    <w:rsid w:val="0060451D"/>
    <w:rsid w:val="006062F8"/>
    <w:rsid w:val="00611FF9"/>
    <w:rsid w:val="0061238C"/>
    <w:rsid w:val="0061628D"/>
    <w:rsid w:val="00616C57"/>
    <w:rsid w:val="006235FF"/>
    <w:rsid w:val="006258D6"/>
    <w:rsid w:val="00635029"/>
    <w:rsid w:val="006410EB"/>
    <w:rsid w:val="006467D7"/>
    <w:rsid w:val="00650889"/>
    <w:rsid w:val="00661740"/>
    <w:rsid w:val="00661E15"/>
    <w:rsid w:val="00663294"/>
    <w:rsid w:val="00664049"/>
    <w:rsid w:val="006653BE"/>
    <w:rsid w:val="00665D03"/>
    <w:rsid w:val="006725C8"/>
    <w:rsid w:val="00675649"/>
    <w:rsid w:val="006767DE"/>
    <w:rsid w:val="00683BCC"/>
    <w:rsid w:val="00684518"/>
    <w:rsid w:val="0069297D"/>
    <w:rsid w:val="00693326"/>
    <w:rsid w:val="0069591B"/>
    <w:rsid w:val="006A2DA1"/>
    <w:rsid w:val="006C2080"/>
    <w:rsid w:val="006C44EF"/>
    <w:rsid w:val="006C6468"/>
    <w:rsid w:val="006D2546"/>
    <w:rsid w:val="006D36F2"/>
    <w:rsid w:val="006F43C5"/>
    <w:rsid w:val="007039EF"/>
    <w:rsid w:val="007071D8"/>
    <w:rsid w:val="0071218E"/>
    <w:rsid w:val="00712BB5"/>
    <w:rsid w:val="00713BA2"/>
    <w:rsid w:val="00723019"/>
    <w:rsid w:val="00725DA5"/>
    <w:rsid w:val="00727163"/>
    <w:rsid w:val="00731928"/>
    <w:rsid w:val="007337BD"/>
    <w:rsid w:val="0074445F"/>
    <w:rsid w:val="0075757C"/>
    <w:rsid w:val="00761ABC"/>
    <w:rsid w:val="00772FDB"/>
    <w:rsid w:val="0077682C"/>
    <w:rsid w:val="007827FC"/>
    <w:rsid w:val="007843DE"/>
    <w:rsid w:val="00786B1C"/>
    <w:rsid w:val="007873DE"/>
    <w:rsid w:val="00787558"/>
    <w:rsid w:val="007927D8"/>
    <w:rsid w:val="0079416B"/>
    <w:rsid w:val="007A062A"/>
    <w:rsid w:val="007A7F54"/>
    <w:rsid w:val="007B0204"/>
    <w:rsid w:val="007B2599"/>
    <w:rsid w:val="007B32E3"/>
    <w:rsid w:val="007B77EA"/>
    <w:rsid w:val="007C1ED8"/>
    <w:rsid w:val="007D124C"/>
    <w:rsid w:val="007D34EB"/>
    <w:rsid w:val="007E1603"/>
    <w:rsid w:val="007E6B4D"/>
    <w:rsid w:val="007F3C0B"/>
    <w:rsid w:val="007F5242"/>
    <w:rsid w:val="007F6E48"/>
    <w:rsid w:val="0080305A"/>
    <w:rsid w:val="0081323A"/>
    <w:rsid w:val="0081566E"/>
    <w:rsid w:val="008166E4"/>
    <w:rsid w:val="0081771A"/>
    <w:rsid w:val="008259AA"/>
    <w:rsid w:val="008315E9"/>
    <w:rsid w:val="00832851"/>
    <w:rsid w:val="00833B4D"/>
    <w:rsid w:val="008361D0"/>
    <w:rsid w:val="00837FC8"/>
    <w:rsid w:val="008451FD"/>
    <w:rsid w:val="00852657"/>
    <w:rsid w:val="00855BA0"/>
    <w:rsid w:val="00856089"/>
    <w:rsid w:val="00857B20"/>
    <w:rsid w:val="00862B22"/>
    <w:rsid w:val="008633E5"/>
    <w:rsid w:val="00864C77"/>
    <w:rsid w:val="00871ECD"/>
    <w:rsid w:val="0087285F"/>
    <w:rsid w:val="00872D65"/>
    <w:rsid w:val="00875CB9"/>
    <w:rsid w:val="0087689A"/>
    <w:rsid w:val="008906FA"/>
    <w:rsid w:val="00893473"/>
    <w:rsid w:val="00893CEB"/>
    <w:rsid w:val="00893DDA"/>
    <w:rsid w:val="008978FA"/>
    <w:rsid w:val="008A38B9"/>
    <w:rsid w:val="008A59A4"/>
    <w:rsid w:val="008B3D33"/>
    <w:rsid w:val="008B75AE"/>
    <w:rsid w:val="008C002E"/>
    <w:rsid w:val="008C1B29"/>
    <w:rsid w:val="008C4DB1"/>
    <w:rsid w:val="008C6438"/>
    <w:rsid w:val="008D4857"/>
    <w:rsid w:val="008D502B"/>
    <w:rsid w:val="008E14E2"/>
    <w:rsid w:val="008E3C8A"/>
    <w:rsid w:val="00902617"/>
    <w:rsid w:val="009026CA"/>
    <w:rsid w:val="009028F3"/>
    <w:rsid w:val="00904AB1"/>
    <w:rsid w:val="009062A0"/>
    <w:rsid w:val="00906BC5"/>
    <w:rsid w:val="00911FA6"/>
    <w:rsid w:val="009126E5"/>
    <w:rsid w:val="00913268"/>
    <w:rsid w:val="00915180"/>
    <w:rsid w:val="00915D02"/>
    <w:rsid w:val="0092130B"/>
    <w:rsid w:val="009229CD"/>
    <w:rsid w:val="00922F94"/>
    <w:rsid w:val="009244F7"/>
    <w:rsid w:val="009300D7"/>
    <w:rsid w:val="009311B3"/>
    <w:rsid w:val="00931E9C"/>
    <w:rsid w:val="009427D8"/>
    <w:rsid w:val="00947FDB"/>
    <w:rsid w:val="00955F35"/>
    <w:rsid w:val="009562CC"/>
    <w:rsid w:val="00960925"/>
    <w:rsid w:val="0096264C"/>
    <w:rsid w:val="009628F1"/>
    <w:rsid w:val="009742FE"/>
    <w:rsid w:val="0098214B"/>
    <w:rsid w:val="0098295D"/>
    <w:rsid w:val="00982F40"/>
    <w:rsid w:val="009976B8"/>
    <w:rsid w:val="009A3E57"/>
    <w:rsid w:val="009A61A9"/>
    <w:rsid w:val="009B0477"/>
    <w:rsid w:val="009B4BF5"/>
    <w:rsid w:val="009C3C66"/>
    <w:rsid w:val="009C4373"/>
    <w:rsid w:val="009C7C38"/>
    <w:rsid w:val="009D0959"/>
    <w:rsid w:val="009D2715"/>
    <w:rsid w:val="009D5A1F"/>
    <w:rsid w:val="009F412C"/>
    <w:rsid w:val="009F5AA1"/>
    <w:rsid w:val="009F6E13"/>
    <w:rsid w:val="009F754F"/>
    <w:rsid w:val="00A04FA6"/>
    <w:rsid w:val="00A0537E"/>
    <w:rsid w:val="00A0631E"/>
    <w:rsid w:val="00A07DE8"/>
    <w:rsid w:val="00A17CDD"/>
    <w:rsid w:val="00A22A0D"/>
    <w:rsid w:val="00A24F49"/>
    <w:rsid w:val="00A3226F"/>
    <w:rsid w:val="00A3496A"/>
    <w:rsid w:val="00A3696D"/>
    <w:rsid w:val="00A414F8"/>
    <w:rsid w:val="00A432EF"/>
    <w:rsid w:val="00A44F17"/>
    <w:rsid w:val="00A453BB"/>
    <w:rsid w:val="00A46C85"/>
    <w:rsid w:val="00A54DD0"/>
    <w:rsid w:val="00A54FFC"/>
    <w:rsid w:val="00A608F3"/>
    <w:rsid w:val="00A76CA3"/>
    <w:rsid w:val="00A808D3"/>
    <w:rsid w:val="00A81F67"/>
    <w:rsid w:val="00A82F34"/>
    <w:rsid w:val="00A8376C"/>
    <w:rsid w:val="00A91CEC"/>
    <w:rsid w:val="00A9423D"/>
    <w:rsid w:val="00A94F09"/>
    <w:rsid w:val="00A976C5"/>
    <w:rsid w:val="00AA4980"/>
    <w:rsid w:val="00AA547C"/>
    <w:rsid w:val="00AB055E"/>
    <w:rsid w:val="00AB1C79"/>
    <w:rsid w:val="00AB5F39"/>
    <w:rsid w:val="00AB6BBD"/>
    <w:rsid w:val="00AB6DD6"/>
    <w:rsid w:val="00AC046B"/>
    <w:rsid w:val="00AC2013"/>
    <w:rsid w:val="00AC7B7C"/>
    <w:rsid w:val="00AD0619"/>
    <w:rsid w:val="00AD39D5"/>
    <w:rsid w:val="00AD538D"/>
    <w:rsid w:val="00AE691D"/>
    <w:rsid w:val="00AF0AD6"/>
    <w:rsid w:val="00AF2563"/>
    <w:rsid w:val="00AF3474"/>
    <w:rsid w:val="00AF3655"/>
    <w:rsid w:val="00AF4CB2"/>
    <w:rsid w:val="00AF6D53"/>
    <w:rsid w:val="00B0654E"/>
    <w:rsid w:val="00B1336A"/>
    <w:rsid w:val="00B13FC0"/>
    <w:rsid w:val="00B1427F"/>
    <w:rsid w:val="00B1460C"/>
    <w:rsid w:val="00B21225"/>
    <w:rsid w:val="00B21EE2"/>
    <w:rsid w:val="00B24224"/>
    <w:rsid w:val="00B32525"/>
    <w:rsid w:val="00B33581"/>
    <w:rsid w:val="00B428D7"/>
    <w:rsid w:val="00B42EF3"/>
    <w:rsid w:val="00B4762C"/>
    <w:rsid w:val="00B5020E"/>
    <w:rsid w:val="00B532BC"/>
    <w:rsid w:val="00B55B76"/>
    <w:rsid w:val="00B56579"/>
    <w:rsid w:val="00B61179"/>
    <w:rsid w:val="00B62A47"/>
    <w:rsid w:val="00B62A97"/>
    <w:rsid w:val="00B6555F"/>
    <w:rsid w:val="00B70605"/>
    <w:rsid w:val="00B75D01"/>
    <w:rsid w:val="00B763C5"/>
    <w:rsid w:val="00B841FD"/>
    <w:rsid w:val="00B90075"/>
    <w:rsid w:val="00BA7A76"/>
    <w:rsid w:val="00BB7E5B"/>
    <w:rsid w:val="00BC2D63"/>
    <w:rsid w:val="00BC332C"/>
    <w:rsid w:val="00BD02DA"/>
    <w:rsid w:val="00BD4BAA"/>
    <w:rsid w:val="00BE01ED"/>
    <w:rsid w:val="00BE1924"/>
    <w:rsid w:val="00BF250D"/>
    <w:rsid w:val="00BF275F"/>
    <w:rsid w:val="00BF63CB"/>
    <w:rsid w:val="00C0573E"/>
    <w:rsid w:val="00C0594F"/>
    <w:rsid w:val="00C07105"/>
    <w:rsid w:val="00C14228"/>
    <w:rsid w:val="00C16659"/>
    <w:rsid w:val="00C2491E"/>
    <w:rsid w:val="00C250BC"/>
    <w:rsid w:val="00C25D50"/>
    <w:rsid w:val="00C360F3"/>
    <w:rsid w:val="00C462C0"/>
    <w:rsid w:val="00C5196E"/>
    <w:rsid w:val="00C53E03"/>
    <w:rsid w:val="00C620D6"/>
    <w:rsid w:val="00C7141B"/>
    <w:rsid w:val="00C80F48"/>
    <w:rsid w:val="00C81569"/>
    <w:rsid w:val="00C8378A"/>
    <w:rsid w:val="00C85DDA"/>
    <w:rsid w:val="00C904BA"/>
    <w:rsid w:val="00C97402"/>
    <w:rsid w:val="00CA48B9"/>
    <w:rsid w:val="00CB326B"/>
    <w:rsid w:val="00CB45C2"/>
    <w:rsid w:val="00CB50D1"/>
    <w:rsid w:val="00CB51F5"/>
    <w:rsid w:val="00CC3BC3"/>
    <w:rsid w:val="00CC5298"/>
    <w:rsid w:val="00CC5A9E"/>
    <w:rsid w:val="00CC7816"/>
    <w:rsid w:val="00CD034F"/>
    <w:rsid w:val="00CE0546"/>
    <w:rsid w:val="00CE1687"/>
    <w:rsid w:val="00CF362E"/>
    <w:rsid w:val="00CF6BF1"/>
    <w:rsid w:val="00D02E7B"/>
    <w:rsid w:val="00D070FE"/>
    <w:rsid w:val="00D130A5"/>
    <w:rsid w:val="00D1365A"/>
    <w:rsid w:val="00D176C9"/>
    <w:rsid w:val="00D21C2F"/>
    <w:rsid w:val="00D22D67"/>
    <w:rsid w:val="00D231D3"/>
    <w:rsid w:val="00D2348C"/>
    <w:rsid w:val="00D26341"/>
    <w:rsid w:val="00D26F54"/>
    <w:rsid w:val="00D27025"/>
    <w:rsid w:val="00D32459"/>
    <w:rsid w:val="00D4056A"/>
    <w:rsid w:val="00D44329"/>
    <w:rsid w:val="00D47787"/>
    <w:rsid w:val="00D47DF2"/>
    <w:rsid w:val="00D47E7B"/>
    <w:rsid w:val="00D55BD7"/>
    <w:rsid w:val="00D55C2B"/>
    <w:rsid w:val="00D57EB5"/>
    <w:rsid w:val="00D60968"/>
    <w:rsid w:val="00D64B02"/>
    <w:rsid w:val="00D64BE4"/>
    <w:rsid w:val="00D656BA"/>
    <w:rsid w:val="00D71266"/>
    <w:rsid w:val="00D729A7"/>
    <w:rsid w:val="00D73B36"/>
    <w:rsid w:val="00D821C5"/>
    <w:rsid w:val="00D85C85"/>
    <w:rsid w:val="00D87587"/>
    <w:rsid w:val="00D97D4F"/>
    <w:rsid w:val="00DA3DC6"/>
    <w:rsid w:val="00DA7305"/>
    <w:rsid w:val="00DA7F20"/>
    <w:rsid w:val="00DB649A"/>
    <w:rsid w:val="00DB7DDC"/>
    <w:rsid w:val="00DC0A8E"/>
    <w:rsid w:val="00DC2F3D"/>
    <w:rsid w:val="00DC3489"/>
    <w:rsid w:val="00DC514B"/>
    <w:rsid w:val="00DC5236"/>
    <w:rsid w:val="00DD7AAF"/>
    <w:rsid w:val="00DE209B"/>
    <w:rsid w:val="00DE40D1"/>
    <w:rsid w:val="00DF1C76"/>
    <w:rsid w:val="00E02181"/>
    <w:rsid w:val="00E04A72"/>
    <w:rsid w:val="00E0692A"/>
    <w:rsid w:val="00E06C61"/>
    <w:rsid w:val="00E077D7"/>
    <w:rsid w:val="00E106C1"/>
    <w:rsid w:val="00E137DD"/>
    <w:rsid w:val="00E16D52"/>
    <w:rsid w:val="00E17EF1"/>
    <w:rsid w:val="00E223A0"/>
    <w:rsid w:val="00E240FC"/>
    <w:rsid w:val="00E351A2"/>
    <w:rsid w:val="00E37B1A"/>
    <w:rsid w:val="00E40FE0"/>
    <w:rsid w:val="00E5008A"/>
    <w:rsid w:val="00E506C6"/>
    <w:rsid w:val="00E51EEE"/>
    <w:rsid w:val="00E523F6"/>
    <w:rsid w:val="00E542A7"/>
    <w:rsid w:val="00E542F3"/>
    <w:rsid w:val="00E54357"/>
    <w:rsid w:val="00E56B1A"/>
    <w:rsid w:val="00E601F7"/>
    <w:rsid w:val="00E644A7"/>
    <w:rsid w:val="00E728F2"/>
    <w:rsid w:val="00E73587"/>
    <w:rsid w:val="00E75AA8"/>
    <w:rsid w:val="00E75CF1"/>
    <w:rsid w:val="00E762ED"/>
    <w:rsid w:val="00E77726"/>
    <w:rsid w:val="00E94B61"/>
    <w:rsid w:val="00E96756"/>
    <w:rsid w:val="00EA61A8"/>
    <w:rsid w:val="00EB13CB"/>
    <w:rsid w:val="00ED2DD1"/>
    <w:rsid w:val="00ED7D2D"/>
    <w:rsid w:val="00EE41E1"/>
    <w:rsid w:val="00EF7098"/>
    <w:rsid w:val="00F02136"/>
    <w:rsid w:val="00F10664"/>
    <w:rsid w:val="00F11B90"/>
    <w:rsid w:val="00F16303"/>
    <w:rsid w:val="00F22935"/>
    <w:rsid w:val="00F23F68"/>
    <w:rsid w:val="00F31C23"/>
    <w:rsid w:val="00F32F18"/>
    <w:rsid w:val="00F411DD"/>
    <w:rsid w:val="00F43BBA"/>
    <w:rsid w:val="00F4604F"/>
    <w:rsid w:val="00F46C29"/>
    <w:rsid w:val="00F5057C"/>
    <w:rsid w:val="00F540A2"/>
    <w:rsid w:val="00F55D5F"/>
    <w:rsid w:val="00F5731F"/>
    <w:rsid w:val="00F603A9"/>
    <w:rsid w:val="00F62B9A"/>
    <w:rsid w:val="00F64A67"/>
    <w:rsid w:val="00F662B2"/>
    <w:rsid w:val="00F7227A"/>
    <w:rsid w:val="00F821A3"/>
    <w:rsid w:val="00F836E1"/>
    <w:rsid w:val="00F85031"/>
    <w:rsid w:val="00F947CB"/>
    <w:rsid w:val="00F97AD9"/>
    <w:rsid w:val="00FA0107"/>
    <w:rsid w:val="00FA21C0"/>
    <w:rsid w:val="00FA4C5E"/>
    <w:rsid w:val="00FB3047"/>
    <w:rsid w:val="00FB3A6F"/>
    <w:rsid w:val="00FC280B"/>
    <w:rsid w:val="00FC7018"/>
    <w:rsid w:val="00FD3F46"/>
    <w:rsid w:val="00FD6E75"/>
    <w:rsid w:val="00FD71B1"/>
    <w:rsid w:val="00FD71E3"/>
    <w:rsid w:val="00FE1649"/>
    <w:rsid w:val="00FE5841"/>
    <w:rsid w:val="00FE7170"/>
    <w:rsid w:val="00FF2315"/>
    <w:rsid w:val="00FF2D95"/>
    <w:rsid w:val="00FF2EE2"/>
    <w:rsid w:val="00FF3419"/>
    <w:rsid w:val="00FF4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2115BF"/>
  <w15:docId w15:val="{456BB7CA-976E-447C-83B5-9FD855D1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D74"/>
    <w:rPr>
      <w:rFonts w:ascii="Arial" w:hAnsi="Arial"/>
      <w:sz w:val="24"/>
      <w:szCs w:val="24"/>
    </w:rPr>
  </w:style>
  <w:style w:type="paragraph" w:styleId="Heading1">
    <w:name w:val="heading 1"/>
    <w:basedOn w:val="Normal"/>
    <w:next w:val="Normal"/>
    <w:link w:val="Heading1Char"/>
    <w:uiPriority w:val="9"/>
    <w:qFormat/>
    <w:rsid w:val="00317D74"/>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317D74"/>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317D74"/>
    <w:pPr>
      <w:outlineLvl w:val="2"/>
    </w:pPr>
    <w:rPr>
      <w:rFonts w:cs="Arial"/>
      <w:i w:val="0"/>
    </w:rPr>
  </w:style>
  <w:style w:type="paragraph" w:styleId="Heading4">
    <w:name w:val="heading 4"/>
    <w:basedOn w:val="Normal"/>
    <w:next w:val="Normal"/>
    <w:link w:val="Heading4Char"/>
    <w:uiPriority w:val="9"/>
    <w:unhideWhenUsed/>
    <w:qFormat/>
    <w:rsid w:val="00317D74"/>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317D74"/>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317D74"/>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317D74"/>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317D74"/>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317D74"/>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317D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7D74"/>
  </w:style>
  <w:style w:type="character" w:customStyle="1" w:styleId="Heading1Char">
    <w:name w:val="Heading 1 Char"/>
    <w:basedOn w:val="DefaultParagraphFont"/>
    <w:link w:val="Heading1"/>
    <w:uiPriority w:val="9"/>
    <w:rsid w:val="00317D74"/>
    <w:rPr>
      <w:rFonts w:ascii="Arial" w:eastAsiaTheme="majorEastAsia" w:hAnsi="Arial" w:cstheme="majorBidi"/>
      <w:sz w:val="40"/>
    </w:rPr>
  </w:style>
  <w:style w:type="character" w:customStyle="1" w:styleId="Heading2Char">
    <w:name w:val="Heading 2 Char"/>
    <w:basedOn w:val="DefaultParagraphFont"/>
    <w:link w:val="Heading2"/>
    <w:uiPriority w:val="9"/>
    <w:rsid w:val="00317D74"/>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317D74"/>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317D74"/>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317D74"/>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317D74"/>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317D74"/>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317D74"/>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317D74"/>
    <w:rPr>
      <w:rFonts w:ascii="Arial" w:eastAsiaTheme="majorEastAsia" w:hAnsi="Arial" w:cstheme="majorBidi"/>
      <w:i/>
      <w:iCs/>
      <w:sz w:val="24"/>
    </w:rPr>
  </w:style>
  <w:style w:type="paragraph" w:styleId="Title">
    <w:name w:val="Title"/>
    <w:basedOn w:val="Normal"/>
    <w:next w:val="Normal"/>
    <w:link w:val="TitleChar"/>
    <w:uiPriority w:val="9"/>
    <w:qFormat/>
    <w:rsid w:val="00317D74"/>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317D74"/>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317D74"/>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317D74"/>
    <w:rPr>
      <w:rFonts w:ascii="Arial" w:eastAsiaTheme="majorEastAsia" w:hAnsi="Arial" w:cstheme="majorBidi"/>
      <w:i/>
      <w:iCs/>
      <w:spacing w:val="15"/>
      <w:sz w:val="24"/>
      <w:szCs w:val="24"/>
    </w:rPr>
  </w:style>
  <w:style w:type="character" w:styleId="Strong">
    <w:name w:val="Strong"/>
    <w:basedOn w:val="DefaultParagraphFont"/>
    <w:uiPriority w:val="22"/>
    <w:qFormat/>
    <w:rsid w:val="00317D74"/>
    <w:rPr>
      <w:rFonts w:ascii="Arial" w:hAnsi="Arial"/>
      <w:b/>
      <w:bCs/>
    </w:rPr>
  </w:style>
  <w:style w:type="character" w:styleId="Emphasis">
    <w:name w:val="Emphasis"/>
    <w:basedOn w:val="DefaultParagraphFont"/>
    <w:uiPriority w:val="20"/>
    <w:qFormat/>
    <w:rsid w:val="00317D74"/>
    <w:rPr>
      <w:rFonts w:ascii="Arial" w:hAnsi="Arial"/>
      <w:i/>
      <w:iCs/>
    </w:rPr>
  </w:style>
  <w:style w:type="paragraph" w:styleId="NoSpacing">
    <w:name w:val="No Spacing"/>
    <w:uiPriority w:val="1"/>
    <w:qFormat/>
    <w:rsid w:val="00317D74"/>
    <w:pPr>
      <w:spacing w:after="0" w:line="240" w:lineRule="auto"/>
    </w:pPr>
    <w:rPr>
      <w:rFonts w:ascii="Arial" w:hAnsi="Arial" w:cs="Arial"/>
      <w:bCs/>
      <w:sz w:val="24"/>
      <w:szCs w:val="24"/>
    </w:rPr>
  </w:style>
  <w:style w:type="paragraph" w:styleId="ListParagraph">
    <w:name w:val="List Paragraph"/>
    <w:basedOn w:val="Normal"/>
    <w:link w:val="ListParagraphChar"/>
    <w:uiPriority w:val="34"/>
    <w:qFormat/>
    <w:rsid w:val="00317D74"/>
    <w:pPr>
      <w:ind w:left="720"/>
      <w:contextualSpacing/>
    </w:pPr>
  </w:style>
  <w:style w:type="paragraph" w:styleId="Quote">
    <w:name w:val="Quote"/>
    <w:basedOn w:val="Normal"/>
    <w:next w:val="Normal"/>
    <w:link w:val="QuoteChar"/>
    <w:uiPriority w:val="29"/>
    <w:qFormat/>
    <w:rsid w:val="00317D74"/>
    <w:rPr>
      <w:i/>
      <w:iCs/>
      <w:color w:val="000000" w:themeColor="text1"/>
    </w:rPr>
  </w:style>
  <w:style w:type="character" w:customStyle="1" w:styleId="QuoteChar">
    <w:name w:val="Quote Char"/>
    <w:basedOn w:val="DefaultParagraphFont"/>
    <w:link w:val="Quote"/>
    <w:uiPriority w:val="29"/>
    <w:rsid w:val="00317D74"/>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317D74"/>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317D74"/>
    <w:rPr>
      <w:rFonts w:ascii="Arial" w:hAnsi="Arial"/>
      <w:b/>
      <w:bCs/>
      <w:i/>
      <w:iCs/>
      <w:sz w:val="24"/>
      <w:szCs w:val="24"/>
    </w:rPr>
  </w:style>
  <w:style w:type="character" w:styleId="SubtleEmphasis">
    <w:name w:val="Subtle Emphasis"/>
    <w:basedOn w:val="DefaultParagraphFont"/>
    <w:uiPriority w:val="19"/>
    <w:qFormat/>
    <w:rsid w:val="00317D74"/>
    <w:rPr>
      <w:rFonts w:ascii="Arial" w:hAnsi="Arial"/>
      <w:i/>
      <w:iCs/>
      <w:color w:val="808080" w:themeColor="text1" w:themeTint="7F"/>
    </w:rPr>
  </w:style>
  <w:style w:type="character" w:styleId="IntenseEmphasis">
    <w:name w:val="Intense Emphasis"/>
    <w:basedOn w:val="DefaultParagraphFont"/>
    <w:uiPriority w:val="21"/>
    <w:qFormat/>
    <w:rsid w:val="00317D74"/>
    <w:rPr>
      <w:rFonts w:ascii="Arial" w:hAnsi="Arial"/>
      <w:b/>
      <w:bCs/>
    </w:rPr>
  </w:style>
  <w:style w:type="character" w:styleId="SubtleReference">
    <w:name w:val="Subtle Reference"/>
    <w:basedOn w:val="DefaultParagraphFont"/>
    <w:uiPriority w:val="31"/>
    <w:qFormat/>
    <w:rsid w:val="00317D74"/>
    <w:rPr>
      <w:rFonts w:ascii="Arial" w:hAnsi="Arial"/>
      <w:smallCaps/>
      <w:color w:val="C0504D" w:themeColor="accent2"/>
      <w:u w:val="single"/>
    </w:rPr>
  </w:style>
  <w:style w:type="paragraph" w:styleId="Header">
    <w:name w:val="header"/>
    <w:basedOn w:val="Normal"/>
    <w:link w:val="HeaderChar"/>
    <w:uiPriority w:val="99"/>
    <w:unhideWhenUsed/>
    <w:rsid w:val="00E54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357"/>
    <w:rPr>
      <w:rFonts w:ascii="Arial" w:hAnsi="Arial"/>
      <w:sz w:val="24"/>
      <w:szCs w:val="24"/>
    </w:rPr>
  </w:style>
  <w:style w:type="paragraph" w:styleId="Footer">
    <w:name w:val="footer"/>
    <w:basedOn w:val="Normal"/>
    <w:link w:val="FooterChar"/>
    <w:uiPriority w:val="99"/>
    <w:unhideWhenUsed/>
    <w:rsid w:val="00E54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357"/>
    <w:rPr>
      <w:rFonts w:ascii="Arial" w:hAnsi="Arial"/>
      <w:sz w:val="24"/>
      <w:szCs w:val="24"/>
    </w:rPr>
  </w:style>
  <w:style w:type="character" w:styleId="Hyperlink">
    <w:name w:val="Hyperlink"/>
    <w:basedOn w:val="DefaultParagraphFont"/>
    <w:uiPriority w:val="99"/>
    <w:unhideWhenUsed/>
    <w:rsid w:val="00317D74"/>
    <w:rPr>
      <w:color w:val="0000FF" w:themeColor="hyperlink"/>
      <w:u w:val="single"/>
    </w:rPr>
  </w:style>
  <w:style w:type="table" w:styleId="TableGrid">
    <w:name w:val="Table Grid"/>
    <w:basedOn w:val="TableNormal"/>
    <w:uiPriority w:val="59"/>
    <w:rsid w:val="00E54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357"/>
    <w:rPr>
      <w:rFonts w:ascii="Tahoma" w:hAnsi="Tahoma" w:cs="Tahoma"/>
      <w:sz w:val="16"/>
      <w:szCs w:val="16"/>
    </w:rPr>
  </w:style>
  <w:style w:type="paragraph" w:styleId="CommentText">
    <w:name w:val="annotation text"/>
    <w:basedOn w:val="Normal"/>
    <w:link w:val="CommentTextChar"/>
    <w:uiPriority w:val="99"/>
    <w:rsid w:val="00270CAD"/>
    <w:pPr>
      <w:spacing w:after="0" w:line="240" w:lineRule="auto"/>
    </w:pPr>
    <w:rPr>
      <w:rFonts w:ascii="CG Omega" w:eastAsia="Times New Roman" w:hAnsi="CG Omega" w:cs="Times New Roman"/>
      <w:sz w:val="20"/>
      <w:szCs w:val="20"/>
    </w:rPr>
  </w:style>
  <w:style w:type="character" w:customStyle="1" w:styleId="CommentTextChar">
    <w:name w:val="Comment Text Char"/>
    <w:basedOn w:val="DefaultParagraphFont"/>
    <w:link w:val="CommentText"/>
    <w:uiPriority w:val="99"/>
    <w:rsid w:val="00270CAD"/>
    <w:rPr>
      <w:rFonts w:ascii="CG Omega" w:eastAsia="Times New Roman" w:hAnsi="CG Omega" w:cs="Times New Roman"/>
      <w:sz w:val="20"/>
      <w:szCs w:val="20"/>
    </w:rPr>
  </w:style>
  <w:style w:type="paragraph" w:customStyle="1" w:styleId="AveryStyle1">
    <w:name w:val="Avery Style 1"/>
    <w:uiPriority w:val="99"/>
    <w:rsid w:val="00F43BBA"/>
    <w:pPr>
      <w:spacing w:before="43" w:after="43" w:line="240" w:lineRule="auto"/>
      <w:ind w:left="993" w:right="57"/>
    </w:pPr>
    <w:rPr>
      <w:rFonts w:ascii="Arial" w:eastAsia="Times New Roman" w:hAnsi="Arial" w:cs="Arial"/>
      <w:bCs/>
      <w:color w:val="860037"/>
      <w:sz w:val="20"/>
    </w:rPr>
  </w:style>
  <w:style w:type="paragraph" w:styleId="BodyText">
    <w:name w:val="Body Text"/>
    <w:basedOn w:val="Normal"/>
    <w:link w:val="BodyTextChar"/>
    <w:semiHidden/>
    <w:unhideWhenUsed/>
    <w:rsid w:val="000A665D"/>
    <w:pPr>
      <w:spacing w:after="120"/>
    </w:pPr>
  </w:style>
  <w:style w:type="character" w:customStyle="1" w:styleId="BodyTextChar">
    <w:name w:val="Body Text Char"/>
    <w:basedOn w:val="DefaultParagraphFont"/>
    <w:link w:val="BodyText"/>
    <w:semiHidden/>
    <w:rsid w:val="000A665D"/>
    <w:rPr>
      <w:sz w:val="24"/>
      <w:szCs w:val="24"/>
      <w:lang w:val="en-CA"/>
    </w:rPr>
  </w:style>
  <w:style w:type="paragraph" w:styleId="ListBullet">
    <w:name w:val="List Bullet"/>
    <w:basedOn w:val="Normal"/>
    <w:uiPriority w:val="99"/>
    <w:unhideWhenUsed/>
    <w:rsid w:val="007B77EA"/>
    <w:pPr>
      <w:numPr>
        <w:numId w:val="2"/>
      </w:numPr>
      <w:contextualSpacing/>
    </w:pPr>
  </w:style>
  <w:style w:type="paragraph" w:styleId="BodyTextIndent2">
    <w:name w:val="Body Text Indent 2"/>
    <w:basedOn w:val="Normal"/>
    <w:link w:val="BodyTextIndent2Char"/>
    <w:semiHidden/>
    <w:unhideWhenUsed/>
    <w:rsid w:val="00911FA6"/>
    <w:pPr>
      <w:spacing w:after="120" w:line="480" w:lineRule="auto"/>
      <w:ind w:left="283"/>
    </w:pPr>
  </w:style>
  <w:style w:type="character" w:customStyle="1" w:styleId="BodyTextIndent2Char">
    <w:name w:val="Body Text Indent 2 Char"/>
    <w:basedOn w:val="DefaultParagraphFont"/>
    <w:link w:val="BodyTextIndent2"/>
    <w:semiHidden/>
    <w:rsid w:val="00911FA6"/>
    <w:rPr>
      <w:sz w:val="24"/>
      <w:szCs w:val="24"/>
      <w:lang w:val="en-CA"/>
    </w:rPr>
  </w:style>
  <w:style w:type="numbering" w:customStyle="1" w:styleId="Agreement">
    <w:name w:val="Agreement"/>
    <w:uiPriority w:val="99"/>
    <w:rsid w:val="003C2067"/>
    <w:pPr>
      <w:numPr>
        <w:numId w:val="3"/>
      </w:numPr>
    </w:pPr>
  </w:style>
  <w:style w:type="paragraph" w:customStyle="1" w:styleId="Level1">
    <w:name w:val="Level 1"/>
    <w:basedOn w:val="ListParagraph"/>
    <w:link w:val="Level1Char"/>
    <w:qFormat/>
    <w:rsid w:val="00FE5841"/>
    <w:pPr>
      <w:numPr>
        <w:numId w:val="44"/>
      </w:numPr>
      <w:spacing w:before="120" w:after="120"/>
      <w:contextualSpacing w:val="0"/>
    </w:pPr>
    <w:rPr>
      <w:bCs/>
    </w:rPr>
  </w:style>
  <w:style w:type="paragraph" w:customStyle="1" w:styleId="Level2">
    <w:name w:val="Level 2"/>
    <w:basedOn w:val="Level1"/>
    <w:link w:val="Level2Char"/>
    <w:qFormat/>
    <w:rsid w:val="003A79A4"/>
    <w:pPr>
      <w:numPr>
        <w:ilvl w:val="1"/>
      </w:numPr>
    </w:pPr>
  </w:style>
  <w:style w:type="character" w:customStyle="1" w:styleId="ListParagraphChar">
    <w:name w:val="List Paragraph Char"/>
    <w:basedOn w:val="DefaultParagraphFont"/>
    <w:link w:val="ListParagraph"/>
    <w:uiPriority w:val="34"/>
    <w:rsid w:val="005E6E98"/>
    <w:rPr>
      <w:rFonts w:ascii="Arial" w:hAnsi="Arial"/>
      <w:sz w:val="24"/>
      <w:szCs w:val="24"/>
    </w:rPr>
  </w:style>
  <w:style w:type="character" w:customStyle="1" w:styleId="Level1Char">
    <w:name w:val="Level 1 Char"/>
    <w:basedOn w:val="ListParagraphChar"/>
    <w:link w:val="Level1"/>
    <w:rsid w:val="00FE5841"/>
    <w:rPr>
      <w:rFonts w:ascii="Arial" w:hAnsi="Arial"/>
      <w:bCs/>
      <w:sz w:val="24"/>
      <w:szCs w:val="24"/>
    </w:rPr>
  </w:style>
  <w:style w:type="paragraph" w:customStyle="1" w:styleId="Subheading">
    <w:name w:val="Subheading"/>
    <w:basedOn w:val="Normal"/>
    <w:link w:val="SubheadingChar"/>
    <w:qFormat/>
    <w:rsid w:val="003518BF"/>
    <w:pPr>
      <w:numPr>
        <w:ilvl w:val="4"/>
        <w:numId w:val="12"/>
      </w:numPr>
      <w:ind w:left="1620" w:hanging="360"/>
    </w:pPr>
  </w:style>
  <w:style w:type="character" w:customStyle="1" w:styleId="Level2Char">
    <w:name w:val="Level 2 Char"/>
    <w:basedOn w:val="ListParagraphChar"/>
    <w:link w:val="Level2"/>
    <w:rsid w:val="003A79A4"/>
    <w:rPr>
      <w:rFonts w:ascii="Arial" w:hAnsi="Arial"/>
      <w:bCs/>
      <w:sz w:val="24"/>
      <w:szCs w:val="24"/>
    </w:rPr>
  </w:style>
  <w:style w:type="paragraph" w:customStyle="1" w:styleId="Description">
    <w:name w:val="Description"/>
    <w:basedOn w:val="Normal"/>
    <w:link w:val="DescriptionChar"/>
    <w:qFormat/>
    <w:rsid w:val="007D34EB"/>
    <w:pPr>
      <w:ind w:left="900"/>
    </w:pPr>
  </w:style>
  <w:style w:type="character" w:customStyle="1" w:styleId="SubheadingChar">
    <w:name w:val="Subheading Char"/>
    <w:basedOn w:val="ListParagraphChar"/>
    <w:link w:val="Subheading"/>
    <w:rsid w:val="003518BF"/>
    <w:rPr>
      <w:rFonts w:ascii="Arial" w:hAnsi="Arial" w:cs="Arial"/>
      <w:bCs w:val="0"/>
      <w:sz w:val="24"/>
      <w:szCs w:val="24"/>
      <w:lang w:val="en-CA"/>
    </w:rPr>
  </w:style>
  <w:style w:type="character" w:customStyle="1" w:styleId="DescriptionChar">
    <w:name w:val="Description Char"/>
    <w:basedOn w:val="Heading1Char"/>
    <w:link w:val="Description"/>
    <w:rsid w:val="007D34EB"/>
    <w:rPr>
      <w:rFonts w:ascii="HelveticaNeueLT Std Lt" w:eastAsiaTheme="majorEastAsia" w:hAnsi="HelveticaNeueLT Std Lt" w:cstheme="majorBidi"/>
      <w:bCs/>
      <w:sz w:val="24"/>
      <w:szCs w:val="24"/>
      <w:lang w:val="en-CA"/>
    </w:rPr>
  </w:style>
  <w:style w:type="table" w:customStyle="1" w:styleId="TableGrid1">
    <w:name w:val="Table Grid1"/>
    <w:basedOn w:val="TableNormal"/>
    <w:next w:val="TableGrid"/>
    <w:uiPriority w:val="59"/>
    <w:rsid w:val="00C0594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0">
    <w:name w:val="Level 4"/>
    <w:basedOn w:val="Subheading"/>
    <w:link w:val="Level4Char"/>
    <w:rsid w:val="001F4F23"/>
    <w:pPr>
      <w:numPr>
        <w:numId w:val="6"/>
      </w:numPr>
      <w:ind w:left="1260" w:hanging="180"/>
    </w:pPr>
  </w:style>
  <w:style w:type="paragraph" w:customStyle="1" w:styleId="Level30">
    <w:name w:val="Level 3"/>
    <w:basedOn w:val="Level2"/>
    <w:link w:val="Level3Char"/>
    <w:rsid w:val="00ED7D2D"/>
    <w:pPr>
      <w:numPr>
        <w:ilvl w:val="0"/>
        <w:numId w:val="0"/>
      </w:numPr>
      <w:ind w:left="1440" w:hanging="720"/>
    </w:pPr>
  </w:style>
  <w:style w:type="character" w:customStyle="1" w:styleId="Level4Char">
    <w:name w:val="Level 4 Char"/>
    <w:basedOn w:val="SubheadingChar"/>
    <w:link w:val="Level40"/>
    <w:rsid w:val="001F4F23"/>
    <w:rPr>
      <w:rFonts w:asciiTheme="majorHAnsi" w:hAnsiTheme="majorHAnsi" w:cs="Arial"/>
      <w:b w:val="0"/>
      <w:bCs w:val="0"/>
      <w:sz w:val="24"/>
      <w:szCs w:val="24"/>
      <w:lang w:val="en-CA"/>
    </w:rPr>
  </w:style>
  <w:style w:type="character" w:customStyle="1" w:styleId="Level3Char">
    <w:name w:val="Level 3 Char"/>
    <w:basedOn w:val="SubheadingChar"/>
    <w:link w:val="Level30"/>
    <w:rsid w:val="00ED7D2D"/>
    <w:rPr>
      <w:rFonts w:asciiTheme="majorHAnsi" w:hAnsiTheme="majorHAnsi" w:cs="Arial"/>
      <w:b w:val="0"/>
      <w:bCs w:val="0"/>
      <w:sz w:val="32"/>
      <w:szCs w:val="32"/>
      <w:lang w:val="en-CA"/>
    </w:rPr>
  </w:style>
  <w:style w:type="character" w:styleId="FollowedHyperlink">
    <w:name w:val="FollowedHyperlink"/>
    <w:basedOn w:val="DefaultParagraphFont"/>
    <w:uiPriority w:val="99"/>
    <w:semiHidden/>
    <w:unhideWhenUsed/>
    <w:rsid w:val="00317D74"/>
    <w:rPr>
      <w:color w:val="800080" w:themeColor="followedHyperlink"/>
      <w:u w:val="single"/>
    </w:rPr>
  </w:style>
  <w:style w:type="paragraph" w:styleId="NormalWeb">
    <w:name w:val="Normal (Web)"/>
    <w:basedOn w:val="Normal"/>
    <w:semiHidden/>
    <w:rsid w:val="000447BA"/>
    <w:pPr>
      <w:spacing w:before="100" w:beforeAutospacing="1" w:after="100" w:afterAutospacing="1" w:line="240" w:lineRule="auto"/>
    </w:pPr>
    <w:rPr>
      <w:rFonts w:ascii="non-serif" w:eastAsia="Arial Unicode MS" w:hAnsi="non-serif" w:cs="Arial Unicode MS"/>
      <w:color w:val="000000"/>
      <w:sz w:val="22"/>
      <w:szCs w:val="22"/>
    </w:rPr>
  </w:style>
  <w:style w:type="paragraph" w:styleId="BodyText3">
    <w:name w:val="Body Text 3"/>
    <w:basedOn w:val="Normal"/>
    <w:link w:val="BodyText3Char"/>
    <w:semiHidden/>
    <w:rsid w:val="000447BA"/>
    <w:pPr>
      <w:tabs>
        <w:tab w:val="left" w:pos="720"/>
      </w:tabs>
      <w:spacing w:after="0" w:line="240" w:lineRule="auto"/>
      <w:jc w:val="both"/>
    </w:pPr>
    <w:rPr>
      <w:rFonts w:eastAsia="Times New Roman" w:cs="Arial"/>
      <w:sz w:val="22"/>
      <w:szCs w:val="22"/>
    </w:rPr>
  </w:style>
  <w:style w:type="character" w:customStyle="1" w:styleId="BodyText3Char">
    <w:name w:val="Body Text 3 Char"/>
    <w:basedOn w:val="DefaultParagraphFont"/>
    <w:link w:val="BodyText3"/>
    <w:semiHidden/>
    <w:rsid w:val="000447BA"/>
    <w:rPr>
      <w:rFonts w:ascii="Arial" w:eastAsia="Times New Roman" w:hAnsi="Arial" w:cs="Arial"/>
    </w:rPr>
  </w:style>
  <w:style w:type="paragraph" w:styleId="BodyText2">
    <w:name w:val="Body Text 2"/>
    <w:basedOn w:val="Normal"/>
    <w:link w:val="BodyText2Char"/>
    <w:semiHidden/>
    <w:rsid w:val="000447BA"/>
    <w:pPr>
      <w:spacing w:after="0" w:line="240" w:lineRule="auto"/>
    </w:pPr>
    <w:rPr>
      <w:rFonts w:eastAsia="Times New Roman" w:cs="Arial"/>
      <w:sz w:val="22"/>
    </w:rPr>
  </w:style>
  <w:style w:type="character" w:customStyle="1" w:styleId="BodyText2Char">
    <w:name w:val="Body Text 2 Char"/>
    <w:basedOn w:val="DefaultParagraphFont"/>
    <w:link w:val="BodyText2"/>
    <w:semiHidden/>
    <w:rsid w:val="000447BA"/>
    <w:rPr>
      <w:rFonts w:ascii="Arial" w:eastAsia="Times New Roman" w:hAnsi="Arial" w:cs="Arial"/>
      <w:szCs w:val="24"/>
    </w:rPr>
  </w:style>
  <w:style w:type="paragraph" w:styleId="BodyTextIndent">
    <w:name w:val="Body Text Indent"/>
    <w:basedOn w:val="Normal"/>
    <w:link w:val="BodyTextIndentChar"/>
    <w:semiHidden/>
    <w:rsid w:val="000447BA"/>
    <w:pPr>
      <w:spacing w:after="0" w:line="240" w:lineRule="auto"/>
      <w:ind w:left="540"/>
      <w:jc w:val="both"/>
    </w:pPr>
    <w:rPr>
      <w:rFonts w:eastAsia="Times New Roman" w:cs="Arial"/>
      <w:i/>
      <w:iCs/>
      <w:sz w:val="22"/>
    </w:rPr>
  </w:style>
  <w:style w:type="character" w:customStyle="1" w:styleId="BodyTextIndentChar">
    <w:name w:val="Body Text Indent Char"/>
    <w:basedOn w:val="DefaultParagraphFont"/>
    <w:link w:val="BodyTextIndent"/>
    <w:semiHidden/>
    <w:rsid w:val="000447BA"/>
    <w:rPr>
      <w:rFonts w:ascii="Arial" w:eastAsia="Times New Roman" w:hAnsi="Arial" w:cs="Arial"/>
      <w:i/>
      <w:iCs/>
      <w:szCs w:val="24"/>
    </w:rPr>
  </w:style>
  <w:style w:type="paragraph" w:styleId="Caption">
    <w:name w:val="caption"/>
    <w:basedOn w:val="Normal"/>
    <w:next w:val="Normal"/>
    <w:rsid w:val="000447BA"/>
    <w:pPr>
      <w:framePr w:w="9346" w:h="3600" w:hSpace="187" w:wrap="notBeside" w:vAnchor="text" w:hAnchor="text" w:y="1"/>
      <w:pBdr>
        <w:top w:val="single" w:sz="6" w:space="7" w:color="000000"/>
        <w:left w:val="single" w:sz="6" w:space="7" w:color="000000"/>
        <w:bottom w:val="single" w:sz="6" w:space="7" w:color="000000"/>
        <w:right w:val="single" w:sz="6" w:space="7" w:color="000000"/>
      </w:pBdr>
      <w:spacing w:after="0" w:line="240" w:lineRule="auto"/>
      <w:jc w:val="center"/>
    </w:pPr>
    <w:rPr>
      <w:rFonts w:eastAsia="Times New Roman" w:cs="Times New Roman"/>
      <w:b/>
      <w:bCs/>
      <w:sz w:val="26"/>
    </w:rPr>
  </w:style>
  <w:style w:type="character" w:styleId="PageNumber">
    <w:name w:val="page number"/>
    <w:basedOn w:val="DefaultParagraphFont"/>
    <w:semiHidden/>
    <w:rsid w:val="000447BA"/>
  </w:style>
  <w:style w:type="paragraph" w:customStyle="1" w:styleId="PCHNLevel4">
    <w:name w:val="PCH_N_Level4"/>
    <w:basedOn w:val="Normal"/>
    <w:rsid w:val="000447BA"/>
    <w:pPr>
      <w:widowControl w:val="0"/>
      <w:autoSpaceDE w:val="0"/>
      <w:autoSpaceDN w:val="0"/>
      <w:adjustRightInd w:val="0"/>
      <w:spacing w:after="220" w:line="240" w:lineRule="auto"/>
    </w:pPr>
    <w:rPr>
      <w:rFonts w:eastAsia="Times New Roman" w:cs="Arial"/>
      <w:sz w:val="22"/>
      <w:szCs w:val="22"/>
    </w:rPr>
  </w:style>
  <w:style w:type="paragraph" w:styleId="Revision">
    <w:name w:val="Revision"/>
    <w:hidden/>
    <w:uiPriority w:val="99"/>
    <w:semiHidden/>
    <w:rsid w:val="000447BA"/>
    <w:pPr>
      <w:spacing w:after="0" w:line="240" w:lineRule="auto"/>
    </w:pPr>
    <w:rPr>
      <w:rFonts w:ascii="Times New Roman" w:eastAsia="Times New Roman" w:hAnsi="Times New Roman" w:cs="Times New Roman"/>
      <w:sz w:val="24"/>
      <w:szCs w:val="24"/>
      <w:lang w:val="en-CA"/>
    </w:rPr>
  </w:style>
  <w:style w:type="paragraph" w:customStyle="1" w:styleId="Style1">
    <w:name w:val="Style1"/>
    <w:basedOn w:val="Heading2"/>
    <w:link w:val="Style1Char"/>
    <w:rsid w:val="000447BA"/>
    <w:pPr>
      <w:keepNext w:val="0"/>
      <w:keepLines w:val="0"/>
      <w:numPr>
        <w:ilvl w:val="1"/>
        <w:numId w:val="11"/>
      </w:numPr>
      <w:spacing w:before="0" w:line="240" w:lineRule="auto"/>
    </w:pPr>
    <w:rPr>
      <w:rFonts w:eastAsia="Times New Roman" w:cs="Arial"/>
      <w:b/>
      <w:i/>
      <w:kern w:val="32"/>
      <w:szCs w:val="24"/>
    </w:rPr>
  </w:style>
  <w:style w:type="paragraph" w:customStyle="1" w:styleId="Heading5purchpol">
    <w:name w:val="Heading 5 purch pol"/>
    <w:basedOn w:val="Heading8"/>
    <w:link w:val="Heading5purchpolChar"/>
    <w:qFormat/>
    <w:rsid w:val="000447BA"/>
    <w:pPr>
      <w:keepLines w:val="0"/>
      <w:numPr>
        <w:numId w:val="7"/>
      </w:numPr>
      <w:spacing w:before="0" w:line="240" w:lineRule="auto"/>
      <w:jc w:val="both"/>
    </w:pPr>
    <w:rPr>
      <w:rFonts w:eastAsia="Times New Roman" w:cs="Arial"/>
      <w:bCs/>
      <w:i w:val="0"/>
    </w:rPr>
  </w:style>
  <w:style w:type="character" w:customStyle="1" w:styleId="Style1Char">
    <w:name w:val="Style1 Char"/>
    <w:basedOn w:val="Heading2Char"/>
    <w:link w:val="Style1"/>
    <w:rsid w:val="000447BA"/>
    <w:rPr>
      <w:rFonts w:ascii="Arial" w:eastAsia="Times New Roman" w:hAnsi="Arial" w:cs="Arial"/>
      <w:b/>
      <w:bCs w:val="0"/>
      <w:i/>
      <w:kern w:val="32"/>
      <w:sz w:val="32"/>
      <w:szCs w:val="24"/>
      <w:lang w:val="en-CA"/>
    </w:rPr>
  </w:style>
  <w:style w:type="paragraph" w:customStyle="1" w:styleId="Heading8Purchpol">
    <w:name w:val="Heading 8 Purch pol"/>
    <w:basedOn w:val="Normal"/>
    <w:link w:val="Heading8PurchpolChar"/>
    <w:qFormat/>
    <w:rsid w:val="000447BA"/>
    <w:pPr>
      <w:numPr>
        <w:numId w:val="8"/>
      </w:numPr>
      <w:spacing w:after="0" w:line="240" w:lineRule="auto"/>
      <w:jc w:val="both"/>
    </w:pPr>
    <w:rPr>
      <w:rFonts w:eastAsia="Times New Roman" w:cs="Times New Roman"/>
      <w:b/>
      <w:i/>
      <w:sz w:val="22"/>
    </w:rPr>
  </w:style>
  <w:style w:type="character" w:customStyle="1" w:styleId="Heading5purchpolChar">
    <w:name w:val="Heading 5 purch pol Char"/>
    <w:basedOn w:val="Heading8Char"/>
    <w:link w:val="Heading5purchpol"/>
    <w:rsid w:val="000447BA"/>
    <w:rPr>
      <w:rFonts w:ascii="Arial" w:eastAsia="Times New Roman" w:hAnsi="Arial" w:cs="Arial"/>
      <w:b/>
      <w:bCs/>
      <w:i w:val="0"/>
      <w:color w:val="404040" w:themeColor="text1" w:themeTint="BF"/>
      <w:sz w:val="24"/>
      <w:szCs w:val="24"/>
    </w:rPr>
  </w:style>
  <w:style w:type="paragraph" w:customStyle="1" w:styleId="Heading10PurchPol">
    <w:name w:val="Heading 10 Purch Pol"/>
    <w:basedOn w:val="Heading2"/>
    <w:link w:val="Heading10PurchPolChar"/>
    <w:semiHidden/>
    <w:rsid w:val="000447BA"/>
    <w:rPr>
      <w:szCs w:val="36"/>
    </w:rPr>
  </w:style>
  <w:style w:type="character" w:customStyle="1" w:styleId="Heading8PurchpolChar">
    <w:name w:val="Heading 8 Purch pol Char"/>
    <w:link w:val="Heading8Purchpol"/>
    <w:rsid w:val="000447BA"/>
    <w:rPr>
      <w:rFonts w:ascii="Arial" w:eastAsia="Times New Roman" w:hAnsi="Arial" w:cs="Times New Roman"/>
      <w:b/>
      <w:i/>
      <w:szCs w:val="24"/>
      <w:lang w:val="en-CA"/>
    </w:rPr>
  </w:style>
  <w:style w:type="paragraph" w:styleId="TOCHeading">
    <w:name w:val="TOC Heading"/>
    <w:basedOn w:val="Heading1"/>
    <w:next w:val="Normal"/>
    <w:uiPriority w:val="39"/>
    <w:unhideWhenUsed/>
    <w:qFormat/>
    <w:rsid w:val="000447BA"/>
    <w:pPr>
      <w:ind w:left="1134" w:hanging="1134"/>
      <w:outlineLvl w:val="9"/>
    </w:pPr>
    <w:rPr>
      <w:rFonts w:ascii="Cambria" w:eastAsia="Times New Roman" w:hAnsi="Cambria" w:cs="Times New Roman"/>
      <w:b/>
      <w:color w:val="365F91"/>
      <w:sz w:val="28"/>
      <w:szCs w:val="28"/>
    </w:rPr>
  </w:style>
  <w:style w:type="character" w:customStyle="1" w:styleId="Heading10PurchPolChar">
    <w:name w:val="Heading 10 Purch Pol Char"/>
    <w:link w:val="Heading10PurchPol"/>
    <w:semiHidden/>
    <w:rsid w:val="00F821A3"/>
    <w:rPr>
      <w:rFonts w:ascii="Arial" w:eastAsiaTheme="majorEastAsia" w:hAnsi="Arial" w:cstheme="majorBidi"/>
      <w:sz w:val="36"/>
      <w:szCs w:val="36"/>
    </w:rPr>
  </w:style>
  <w:style w:type="paragraph" w:styleId="TOC2">
    <w:name w:val="toc 2"/>
    <w:basedOn w:val="Heading2"/>
    <w:next w:val="Normal"/>
    <w:autoRedefine/>
    <w:uiPriority w:val="39"/>
    <w:unhideWhenUsed/>
    <w:qFormat/>
    <w:rsid w:val="00CC5298"/>
    <w:pPr>
      <w:keepNext w:val="0"/>
      <w:keepLines w:val="0"/>
      <w:tabs>
        <w:tab w:val="left" w:leader="dot" w:pos="993"/>
        <w:tab w:val="left" w:pos="1276"/>
        <w:tab w:val="right" w:leader="dot" w:pos="9350"/>
      </w:tabs>
      <w:spacing w:before="120"/>
      <w:outlineLvl w:val="9"/>
    </w:pPr>
    <w:rPr>
      <w:rFonts w:eastAsiaTheme="minorHAnsi" w:cstheme="minorBidi"/>
      <w:bCs/>
      <w:iCs/>
      <w:noProof/>
      <w:sz w:val="24"/>
      <w:szCs w:val="24"/>
    </w:rPr>
  </w:style>
  <w:style w:type="paragraph" w:styleId="TOC1">
    <w:name w:val="toc 1"/>
    <w:basedOn w:val="Heading1"/>
    <w:next w:val="Normal"/>
    <w:autoRedefine/>
    <w:uiPriority w:val="39"/>
    <w:unhideWhenUsed/>
    <w:qFormat/>
    <w:rsid w:val="00CC5298"/>
    <w:pPr>
      <w:keepNext w:val="0"/>
      <w:keepLines w:val="0"/>
      <w:outlineLvl w:val="9"/>
    </w:pPr>
    <w:rPr>
      <w:rFonts w:eastAsiaTheme="minorHAnsi" w:cstheme="minorBidi"/>
      <w:sz w:val="24"/>
      <w:szCs w:val="20"/>
    </w:rPr>
  </w:style>
  <w:style w:type="paragraph" w:styleId="TOC3">
    <w:name w:val="toc 3"/>
    <w:basedOn w:val="Heading3"/>
    <w:next w:val="Normal"/>
    <w:autoRedefine/>
    <w:uiPriority w:val="39"/>
    <w:unhideWhenUsed/>
    <w:qFormat/>
    <w:rsid w:val="008978FA"/>
    <w:pPr>
      <w:tabs>
        <w:tab w:val="right" w:leader="dot" w:pos="9350"/>
      </w:tabs>
      <w:spacing w:after="0"/>
    </w:pPr>
    <w:rPr>
      <w:sz w:val="24"/>
      <w:szCs w:val="20"/>
    </w:rPr>
  </w:style>
  <w:style w:type="paragraph" w:styleId="TOC4">
    <w:name w:val="toc 4"/>
    <w:basedOn w:val="Heading4"/>
    <w:next w:val="Normal"/>
    <w:autoRedefine/>
    <w:uiPriority w:val="39"/>
    <w:unhideWhenUsed/>
    <w:rsid w:val="00CC5298"/>
    <w:pPr>
      <w:spacing w:after="0"/>
      <w:ind w:left="720"/>
    </w:pPr>
    <w:rPr>
      <w:i w:val="0"/>
      <w:sz w:val="24"/>
      <w:szCs w:val="20"/>
    </w:rPr>
  </w:style>
  <w:style w:type="paragraph" w:styleId="TOC8">
    <w:name w:val="toc 8"/>
    <w:basedOn w:val="Normal"/>
    <w:next w:val="Normal"/>
    <w:autoRedefine/>
    <w:uiPriority w:val="39"/>
    <w:unhideWhenUsed/>
    <w:rsid w:val="000447BA"/>
    <w:pPr>
      <w:spacing w:after="0"/>
      <w:ind w:left="1680"/>
    </w:pPr>
    <w:rPr>
      <w:sz w:val="20"/>
      <w:szCs w:val="20"/>
    </w:rPr>
  </w:style>
  <w:style w:type="paragraph" w:styleId="TOC5">
    <w:name w:val="toc 5"/>
    <w:basedOn w:val="Heading5"/>
    <w:next w:val="Normal"/>
    <w:autoRedefine/>
    <w:uiPriority w:val="39"/>
    <w:unhideWhenUsed/>
    <w:rsid w:val="00CC5298"/>
    <w:pPr>
      <w:spacing w:after="0"/>
      <w:ind w:left="960"/>
    </w:pPr>
    <w:rPr>
      <w:b w:val="0"/>
      <w:sz w:val="24"/>
      <w:szCs w:val="20"/>
    </w:rPr>
  </w:style>
  <w:style w:type="paragraph" w:styleId="TOC9">
    <w:name w:val="toc 9"/>
    <w:basedOn w:val="Normal"/>
    <w:next w:val="Normal"/>
    <w:autoRedefine/>
    <w:uiPriority w:val="39"/>
    <w:unhideWhenUsed/>
    <w:rsid w:val="000447BA"/>
    <w:pPr>
      <w:spacing w:after="0"/>
      <w:ind w:left="1920"/>
    </w:pPr>
    <w:rPr>
      <w:sz w:val="20"/>
      <w:szCs w:val="20"/>
    </w:rPr>
  </w:style>
  <w:style w:type="character" w:styleId="CommentReference">
    <w:name w:val="annotation reference"/>
    <w:uiPriority w:val="99"/>
    <w:semiHidden/>
    <w:unhideWhenUsed/>
    <w:rsid w:val="000447BA"/>
    <w:rPr>
      <w:sz w:val="16"/>
      <w:szCs w:val="16"/>
    </w:rPr>
  </w:style>
  <w:style w:type="paragraph" w:styleId="CommentSubject">
    <w:name w:val="annotation subject"/>
    <w:basedOn w:val="CommentText"/>
    <w:next w:val="CommentText"/>
    <w:link w:val="CommentSubjectChar"/>
    <w:uiPriority w:val="99"/>
    <w:semiHidden/>
    <w:unhideWhenUsed/>
    <w:rsid w:val="000447BA"/>
    <w:rPr>
      <w:rFonts w:ascii="Arial" w:hAnsi="Arial"/>
      <w:b/>
      <w:bCs/>
      <w:lang w:val="en-CA"/>
    </w:rPr>
  </w:style>
  <w:style w:type="character" w:customStyle="1" w:styleId="CommentSubjectChar">
    <w:name w:val="Comment Subject Char"/>
    <w:basedOn w:val="CommentTextChar"/>
    <w:link w:val="CommentSubject"/>
    <w:uiPriority w:val="99"/>
    <w:semiHidden/>
    <w:rsid w:val="000447BA"/>
    <w:rPr>
      <w:rFonts w:ascii="Arial" w:eastAsia="Times New Roman" w:hAnsi="Arial" w:cs="Times New Roman"/>
      <w:b/>
      <w:bCs/>
      <w:sz w:val="20"/>
      <w:szCs w:val="20"/>
      <w:lang w:val="en-CA"/>
    </w:rPr>
  </w:style>
  <w:style w:type="paragraph" w:customStyle="1" w:styleId="List1">
    <w:name w:val="List 1."/>
    <w:basedOn w:val="Normal"/>
    <w:rsid w:val="000447BA"/>
    <w:pPr>
      <w:spacing w:after="240" w:line="480" w:lineRule="auto"/>
    </w:pPr>
    <w:rPr>
      <w:rFonts w:ascii="Times New Roman" w:eastAsia="Times New Roman" w:hAnsi="Times New Roman" w:cs="Times New Roman"/>
      <w:bCs/>
      <w:sz w:val="26"/>
    </w:rPr>
  </w:style>
  <w:style w:type="paragraph" w:customStyle="1" w:styleId="Default">
    <w:name w:val="Default"/>
    <w:rsid w:val="000447BA"/>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PurchasingProcedure">
    <w:name w:val="Purchasing Procedure"/>
    <w:uiPriority w:val="99"/>
    <w:rsid w:val="000447BA"/>
    <w:pPr>
      <w:numPr>
        <w:numId w:val="13"/>
      </w:numPr>
    </w:pPr>
  </w:style>
  <w:style w:type="paragraph" w:styleId="TOC6">
    <w:name w:val="toc 6"/>
    <w:basedOn w:val="Normal"/>
    <w:next w:val="Normal"/>
    <w:autoRedefine/>
    <w:uiPriority w:val="39"/>
    <w:unhideWhenUsed/>
    <w:rsid w:val="000447BA"/>
    <w:pPr>
      <w:spacing w:after="0"/>
      <w:ind w:left="1200"/>
    </w:pPr>
    <w:rPr>
      <w:sz w:val="20"/>
      <w:szCs w:val="20"/>
    </w:rPr>
  </w:style>
  <w:style w:type="paragraph" w:styleId="TOC7">
    <w:name w:val="toc 7"/>
    <w:basedOn w:val="Normal"/>
    <w:next w:val="Normal"/>
    <w:autoRedefine/>
    <w:uiPriority w:val="39"/>
    <w:unhideWhenUsed/>
    <w:rsid w:val="000447BA"/>
    <w:pPr>
      <w:spacing w:after="0"/>
      <w:ind w:left="1440"/>
    </w:pPr>
    <w:rPr>
      <w:sz w:val="20"/>
      <w:szCs w:val="20"/>
    </w:rPr>
  </w:style>
  <w:style w:type="paragraph" w:customStyle="1" w:styleId="Level3">
    <w:name w:val="Level3"/>
    <w:basedOn w:val="Level2"/>
    <w:link w:val="Level3Char0"/>
    <w:qFormat/>
    <w:rsid w:val="00D4056A"/>
    <w:pPr>
      <w:numPr>
        <w:ilvl w:val="2"/>
      </w:numPr>
    </w:pPr>
  </w:style>
  <w:style w:type="paragraph" w:customStyle="1" w:styleId="Level4">
    <w:name w:val="Level4"/>
    <w:basedOn w:val="Level3"/>
    <w:link w:val="Level4Char0"/>
    <w:qFormat/>
    <w:rsid w:val="003A79A4"/>
    <w:pPr>
      <w:numPr>
        <w:ilvl w:val="3"/>
      </w:numPr>
      <w:ind w:left="720"/>
    </w:pPr>
  </w:style>
  <w:style w:type="character" w:customStyle="1" w:styleId="Level3Char0">
    <w:name w:val="Level3 Char"/>
    <w:basedOn w:val="Level2Char"/>
    <w:link w:val="Level3"/>
    <w:rsid w:val="00D4056A"/>
    <w:rPr>
      <w:rFonts w:ascii="Arial" w:hAnsi="Arial"/>
      <w:bCs/>
      <w:sz w:val="24"/>
      <w:szCs w:val="24"/>
    </w:rPr>
  </w:style>
  <w:style w:type="character" w:customStyle="1" w:styleId="Level4Char0">
    <w:name w:val="Level4 Char"/>
    <w:basedOn w:val="Level3Char0"/>
    <w:link w:val="Level4"/>
    <w:rsid w:val="003A79A4"/>
    <w:rPr>
      <w:rFonts w:ascii="Arial" w:hAnsi="Arial"/>
      <w:bCs/>
      <w:sz w:val="24"/>
      <w:szCs w:val="24"/>
    </w:rPr>
  </w:style>
  <w:style w:type="paragraph" w:customStyle="1" w:styleId="subheading2">
    <w:name w:val="subheading2"/>
    <w:basedOn w:val="Normal"/>
    <w:link w:val="subheading2Char"/>
    <w:qFormat/>
    <w:rsid w:val="00E77726"/>
    <w:pPr>
      <w:numPr>
        <w:numId w:val="16"/>
      </w:numPr>
      <w:spacing w:after="0"/>
    </w:pPr>
    <w:rPr>
      <w:bCs/>
    </w:rPr>
  </w:style>
  <w:style w:type="character" w:customStyle="1" w:styleId="subheading2Char">
    <w:name w:val="subheading2 Char"/>
    <w:basedOn w:val="DefaultParagraphFont"/>
    <w:link w:val="subheading2"/>
    <w:rsid w:val="00E77726"/>
    <w:rPr>
      <w:bCs/>
      <w:sz w:val="24"/>
      <w:szCs w:val="24"/>
    </w:rPr>
  </w:style>
  <w:style w:type="character" w:styleId="IntenseReference">
    <w:name w:val="Intense Reference"/>
    <w:basedOn w:val="DefaultParagraphFont"/>
    <w:uiPriority w:val="32"/>
    <w:qFormat/>
    <w:rsid w:val="00317D74"/>
    <w:rPr>
      <w:b/>
      <w:bCs/>
      <w:smallCaps/>
      <w:color w:val="C0504D" w:themeColor="accent2"/>
      <w:spacing w:val="5"/>
      <w:u w:val="single"/>
    </w:rPr>
  </w:style>
  <w:style w:type="character" w:styleId="BookTitle">
    <w:name w:val="Book Title"/>
    <w:basedOn w:val="DefaultParagraphFont"/>
    <w:uiPriority w:val="33"/>
    <w:qFormat/>
    <w:rsid w:val="00317D74"/>
    <w:rPr>
      <w:b/>
      <w:bCs/>
      <w:smallCaps/>
      <w:spacing w:val="5"/>
    </w:rPr>
  </w:style>
  <w:style w:type="paragraph" w:customStyle="1" w:styleId="AppleFill">
    <w:name w:val="Apple Fill"/>
    <w:basedOn w:val="Normal"/>
    <w:link w:val="AppleFillChar"/>
    <w:uiPriority w:val="10"/>
    <w:qFormat/>
    <w:rsid w:val="00317D74"/>
    <w:rPr>
      <w:b/>
      <w:color w:val="FFFFFF" w:themeColor="background1"/>
      <w:shd w:val="clear" w:color="auto" w:fill="9BBB59" w:themeFill="accent3"/>
    </w:rPr>
  </w:style>
  <w:style w:type="paragraph" w:customStyle="1" w:styleId="AquaFill">
    <w:name w:val="Aqua Fill"/>
    <w:basedOn w:val="Normal"/>
    <w:link w:val="AquaFillChar"/>
    <w:uiPriority w:val="10"/>
    <w:qFormat/>
    <w:rsid w:val="00317D74"/>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317D74"/>
    <w:rPr>
      <w:rFonts w:ascii="Arial" w:hAnsi="Arial"/>
      <w:b/>
      <w:color w:val="FFFFFF" w:themeColor="background1"/>
      <w:sz w:val="24"/>
      <w:szCs w:val="24"/>
    </w:rPr>
  </w:style>
  <w:style w:type="paragraph" w:customStyle="1" w:styleId="WineFill">
    <w:name w:val="Wine Fill"/>
    <w:basedOn w:val="Normal"/>
    <w:link w:val="WineFillChar"/>
    <w:uiPriority w:val="9"/>
    <w:qFormat/>
    <w:rsid w:val="00317D74"/>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317D74"/>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317D74"/>
    <w:rPr>
      <w:rFonts w:ascii="Arial" w:hAnsi="Arial"/>
      <w:b/>
      <w:color w:val="FFFFFF" w:themeColor="background1"/>
      <w:sz w:val="24"/>
      <w:szCs w:val="24"/>
    </w:rPr>
  </w:style>
  <w:style w:type="character" w:styleId="PlaceholderText">
    <w:name w:val="Placeholder Text"/>
    <w:basedOn w:val="DefaultParagraphFont"/>
    <w:uiPriority w:val="99"/>
    <w:semiHidden/>
    <w:rsid w:val="00AC04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8346B44CA1B4F39A2BC57A12D8925EA"/>
        <w:category>
          <w:name w:val="General"/>
          <w:gallery w:val="placeholder"/>
        </w:category>
        <w:types>
          <w:type w:val="bbPlcHdr"/>
        </w:types>
        <w:behaviors>
          <w:behavior w:val="content"/>
        </w:behaviors>
        <w:guid w:val="{E699DB8E-0682-4B06-BE46-85CB90614612}"/>
      </w:docPartPr>
      <w:docPartBody>
        <w:p w:rsidR="008C268E" w:rsidRDefault="008C1810" w:rsidP="008C1810">
          <w:pPr>
            <w:pStyle w:val="68346B44CA1B4F39A2BC57A12D8925EA"/>
          </w:pPr>
          <w:r w:rsidRPr="00622BB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non-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75"/>
    <w:rsid w:val="00002382"/>
    <w:rsid w:val="00056427"/>
    <w:rsid w:val="00340375"/>
    <w:rsid w:val="0070500E"/>
    <w:rsid w:val="008C1810"/>
    <w:rsid w:val="008C268E"/>
    <w:rsid w:val="009B15B6"/>
    <w:rsid w:val="009C51F2"/>
    <w:rsid w:val="00A16D57"/>
    <w:rsid w:val="00C21976"/>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810"/>
    <w:rPr>
      <w:color w:val="808080"/>
    </w:rPr>
  </w:style>
  <w:style w:type="paragraph" w:customStyle="1" w:styleId="4B7481BC87024D838BACFE56EB00D3EA">
    <w:name w:val="4B7481BC87024D838BACFE56EB00D3EA"/>
    <w:rsid w:val="008C1810"/>
  </w:style>
  <w:style w:type="paragraph" w:customStyle="1" w:styleId="68346B44CA1B4F39A2BC57A12D8925EA">
    <w:name w:val="68346B44CA1B4F39A2BC57A12D8925EA"/>
    <w:rsid w:val="008C1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GC_115343695</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[2021-01-28 Committee of the Whole [9811]]</meetingId>
    <capitalProjectPriority xmlns="e6cd7bd4-3f3e-4495-b8c9-139289cd76e6" xsi:nil="true"/>
    <policyApprovalDate xmlns="e6cd7bd4-3f3e-4495-b8c9-139289cd76e6" xsi:nil="true"/>
    <NodeRef xmlns="e6cd7bd4-3f3e-4495-b8c9-139289cd76e6">a15cd146-40ea-4eef-becf-0e4a136a9608</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5.xml><?xml version="1.0" encoding="utf-8"?>
<?mso-contentType ?>
<SharedContentType xmlns="Microsoft.SharePoint.Taxonomy.ContentTypeSync" SourceId="207520ec-6bc0-44fa-bd35-215c990d95f9" ContentTypeId="0x0101002C4164E063A41A4487A7365A660F111801" PreviousValue="false"/>
</file>

<file path=customXml/itemProps1.xml><?xml version="1.0" encoding="utf-8"?>
<ds:datastoreItem xmlns:ds="http://schemas.openxmlformats.org/officeDocument/2006/customXml" ds:itemID="{A5C6DFCA-44A0-407B-BFCD-D716B0756CFE}">
  <ds:schemaRefs>
    <ds:schemaRef ds:uri="http://schemas.openxmlformats.org/officeDocument/2006/bibliography"/>
  </ds:schemaRefs>
</ds:datastoreItem>
</file>

<file path=customXml/itemProps2.xml><?xml version="1.0" encoding="utf-8"?>
<ds:datastoreItem xmlns:ds="http://schemas.openxmlformats.org/officeDocument/2006/customXml" ds:itemID="{96CC886A-F106-4C21-B6B0-E8921FF08C46}"/>
</file>

<file path=customXml/itemProps3.xml><?xml version="1.0" encoding="utf-8"?>
<ds:datastoreItem xmlns:ds="http://schemas.openxmlformats.org/officeDocument/2006/customXml" ds:itemID="{C7F58F30-9C5E-488C-8A81-E241C6C36333}">
  <ds:schemaRefs>
    <ds:schemaRef ds:uri="http://schemas.microsoft.com/sharepoint/v3/contenttype/forms"/>
  </ds:schemaRefs>
</ds:datastoreItem>
</file>

<file path=customXml/itemProps4.xml><?xml version="1.0" encoding="utf-8"?>
<ds:datastoreItem xmlns:ds="http://schemas.openxmlformats.org/officeDocument/2006/customXml" ds:itemID="{C034D79F-4746-4088-9501-C74242836C27}">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9e0655d3-2de9-420f-a513-3f5c522f8a4c"/>
    <ds:schemaRef ds:uri="http://schemas.microsoft.com/office/2006/metadata/properties"/>
    <ds:schemaRef ds:uri="5e0bac25-66ac-4bb1-b391-4c16a8864d9a"/>
    <ds:schemaRef ds:uri="http://www.w3.org/XML/1998/namespace"/>
    <ds:schemaRef ds:uri="http://purl.org/dc/dcmitype/"/>
  </ds:schemaRefs>
</ds:datastoreItem>
</file>

<file path=customXml/itemProps5.xml><?xml version="1.0" encoding="utf-8"?>
<ds:datastoreItem xmlns:ds="http://schemas.openxmlformats.org/officeDocument/2006/customXml" ds:itemID="{390C3B89-BDB2-4D0B-8522-8454A2F7D495}"/>
</file>

<file path=docProps/app.xml><?xml version="1.0" encoding="utf-8"?>
<Properties xmlns="http://schemas.openxmlformats.org/officeDocument/2006/extended-properties" xmlns:vt="http://schemas.openxmlformats.org/officeDocument/2006/docPropsVTypes">
  <Template>Normal</Template>
  <TotalTime>101</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2021 Employee Group Benefit Renewal</vt:lpstr>
    </vt:vector>
  </TitlesOfParts>
  <Company>County of Grey</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Employee Group Benefit Renewal</dc:title>
  <dc:creator>Elder, Nancy</dc:creator>
  <cp:lastModifiedBy>Tara Warder</cp:lastModifiedBy>
  <cp:revision>107</cp:revision>
  <cp:lastPrinted>2014-04-01T13:48:00Z</cp:lastPrinted>
  <dcterms:created xsi:type="dcterms:W3CDTF">2021-01-18T22:59:00Z</dcterms:created>
  <dcterms:modified xsi:type="dcterms:W3CDTF">2021-02-24T16:52:00Z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