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493FEE" w:rsidP="00AC3A8B">
      <w:pPr>
        <w:pStyle w:val="Heading1"/>
        <w:jc w:val="center"/>
      </w:pPr>
      <w:r>
        <w:t xml:space="preserve">Report </w:t>
      </w:r>
      <w:r w:rsidR="0092722F">
        <w:t>CCR-PCD-25-14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493FEE">
        <w:t xml:space="preserve">Chair </w:t>
      </w:r>
      <w:r w:rsidR="0092722F">
        <w:t>Wright</w:t>
      </w:r>
      <w:r w:rsidR="00493FEE">
        <w:t xml:space="preserve"> and Members of the </w:t>
      </w:r>
      <w:r w:rsidR="0092722F">
        <w:t>Planning and Community Development</w:t>
      </w:r>
      <w:r w:rsidR="00493FEE">
        <w:t xml:space="preserve"> Committee</w:t>
      </w:r>
    </w:p>
    <w:p w:rsidR="00AC3A8B" w:rsidRDefault="00AC3A8B" w:rsidP="00AC3A8B">
      <w:pPr>
        <w:pStyle w:val="NoSpacing"/>
        <w:tabs>
          <w:tab w:val="left" w:pos="1890"/>
        </w:tabs>
        <w:spacing w:line="276" w:lineRule="auto"/>
        <w:ind w:left="1890" w:hanging="1890"/>
      </w:pPr>
      <w:r w:rsidRPr="00FB686F">
        <w:rPr>
          <w:rStyle w:val="Strong"/>
        </w:rPr>
        <w:t>From</w:t>
      </w:r>
      <w:r w:rsidRPr="00FB686F">
        <w:t>:</w:t>
      </w:r>
      <w:r w:rsidRPr="00FB686F">
        <w:tab/>
      </w:r>
      <w:r w:rsidR="0092722F">
        <w:t>Sharon Vokes, County Clerk / Director of Council Services</w:t>
      </w:r>
    </w:p>
    <w:p w:rsidR="00EA725F" w:rsidRPr="00EA725F" w:rsidRDefault="00EA725F" w:rsidP="00AC3A8B">
      <w:pPr>
        <w:pStyle w:val="NoSpacing"/>
        <w:tabs>
          <w:tab w:val="left" w:pos="1890"/>
        </w:tabs>
        <w:spacing w:line="276" w:lineRule="auto"/>
        <w:ind w:left="1890" w:hanging="1890"/>
        <w:rPr>
          <w:rStyle w:val="Strong"/>
          <w:b w:val="0"/>
          <w:bCs w:val="0"/>
        </w:rPr>
      </w:pPr>
      <w:r>
        <w:rPr>
          <w:rStyle w:val="Strong"/>
        </w:rPr>
        <w:tab/>
      </w:r>
      <w:r w:rsidRPr="00EA725F">
        <w:rPr>
          <w:rStyle w:val="Strong"/>
          <w:b w:val="0"/>
        </w:rPr>
        <w:t>Randy Scherzer, Director of Planning and Development</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92722F">
        <w:t>July 22</w:t>
      </w:r>
      <w:r w:rsidR="00493FEE">
        <w:t>,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493FEE">
        <w:rPr>
          <w:rStyle w:val="Strong"/>
        </w:rPr>
        <w:t>Quarterly Purchasing Report for Quarter 2 of 2014</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A2851">
        <w:t>Recommendation adopted by Committee per Resolution PCD82-14; Endorsed by County Council August 5, 2014 per Resolution CC115-14;</w:t>
      </w:r>
    </w:p>
    <w:p w:rsidR="00AC3A8B" w:rsidRPr="00FB686F" w:rsidRDefault="00AC3A8B" w:rsidP="00AC3A8B">
      <w:pPr>
        <w:pStyle w:val="Heading2"/>
      </w:pPr>
      <w:r w:rsidRPr="00FB686F">
        <w:t>Recommendation(s)</w:t>
      </w:r>
    </w:p>
    <w:p w:rsidR="00AC3A8B" w:rsidRPr="00CA6DB9" w:rsidRDefault="00493FEE" w:rsidP="00AC3A8B">
      <w:pPr>
        <w:rPr>
          <w:b/>
        </w:rPr>
      </w:pPr>
      <w:r>
        <w:rPr>
          <w:b/>
        </w:rPr>
        <w:t xml:space="preserve">THAT Report </w:t>
      </w:r>
      <w:r w:rsidR="0092722F">
        <w:rPr>
          <w:b/>
        </w:rPr>
        <w:t>CCR-PCD-25-14</w:t>
      </w:r>
      <w:r>
        <w:rPr>
          <w:b/>
        </w:rPr>
        <w:t xml:space="preserve">, being a quarterly purchasing report for Quarter 2 of 2014 for the </w:t>
      </w:r>
      <w:r w:rsidR="0092722F">
        <w:rPr>
          <w:b/>
        </w:rPr>
        <w:t>Clerk’s</w:t>
      </w:r>
      <w:r w:rsidR="00027A82">
        <w:rPr>
          <w:b/>
        </w:rPr>
        <w:t xml:space="preserve"> Department,</w:t>
      </w:r>
      <w:r>
        <w:rPr>
          <w:b/>
        </w:rPr>
        <w:t xml:space="preserve"> </w:t>
      </w:r>
      <w:proofErr w:type="gramStart"/>
      <w:r>
        <w:rPr>
          <w:b/>
        </w:rPr>
        <w:t>be</w:t>
      </w:r>
      <w:proofErr w:type="gramEnd"/>
      <w:r>
        <w:rPr>
          <w:b/>
        </w:rPr>
        <w:t xml:space="preserve"> received for information.</w:t>
      </w:r>
    </w:p>
    <w:p w:rsidR="00AC3A8B" w:rsidRDefault="00AC3A8B" w:rsidP="00AC3A8B">
      <w:pPr>
        <w:pStyle w:val="Heading2"/>
      </w:pPr>
      <w:r w:rsidRPr="00B0378D">
        <w:t>Background</w:t>
      </w:r>
    </w:p>
    <w:p w:rsidR="00493FEE" w:rsidRDefault="00493FEE" w:rsidP="00493FEE">
      <w:r>
        <w:t>The County of Grey Purchasing Policy A-FIN-001, as endorsed by County Council on March 4, 2014, gives Directors the authority to award items and services up to $250,000.  This policy requires Directors to provide a summary of all purchases between $25,000 and $250,000 on a quarterly basis.</w:t>
      </w:r>
    </w:p>
    <w:p w:rsidR="00493FEE" w:rsidRDefault="00493FEE" w:rsidP="00493FEE">
      <w:r>
        <w:t xml:space="preserve">The below chart summarizes all purchases made between $25,000 and $250,000 by the Director of </w:t>
      </w:r>
      <w:r w:rsidR="0092722F">
        <w:t>Council Services</w:t>
      </w:r>
      <w:r>
        <w:t xml:space="preserve"> </w:t>
      </w:r>
      <w:r w:rsidR="00EA725F">
        <w:t xml:space="preserve">or the Director of Planning and Development </w:t>
      </w:r>
      <w:r>
        <w:t>between April 1, 2014 and June 30, 2014.</w:t>
      </w:r>
    </w:p>
    <w:tbl>
      <w:tblPr>
        <w:tblStyle w:val="TableGrid"/>
        <w:tblW w:w="10569" w:type="dxa"/>
        <w:tblInd w:w="-176" w:type="dxa"/>
        <w:tblLayout w:type="fixed"/>
        <w:tblLook w:val="04A0" w:firstRow="1" w:lastRow="0" w:firstColumn="1" w:lastColumn="0" w:noHBand="0" w:noVBand="1"/>
        <w:tblDescription w:val="Summary of all purchases made between $25,000 and $100,000 by the Hosuing Director."/>
      </w:tblPr>
      <w:tblGrid>
        <w:gridCol w:w="1933"/>
        <w:gridCol w:w="2686"/>
        <w:gridCol w:w="705"/>
        <w:gridCol w:w="2127"/>
        <w:gridCol w:w="1838"/>
        <w:gridCol w:w="1280"/>
      </w:tblGrid>
      <w:tr w:rsidR="00493FEE" w:rsidRPr="004D5385" w:rsidTr="005D3805">
        <w:trPr>
          <w:tblHeader/>
        </w:trPr>
        <w:tc>
          <w:tcPr>
            <w:tcW w:w="1933" w:type="dxa"/>
            <w:vAlign w:val="center"/>
          </w:tcPr>
          <w:p w:rsidR="00493FEE" w:rsidRPr="004D5385" w:rsidRDefault="00493FEE" w:rsidP="00E35FC1">
            <w:pPr>
              <w:jc w:val="center"/>
              <w:rPr>
                <w:b/>
                <w:sz w:val="22"/>
                <w:szCs w:val="22"/>
              </w:rPr>
            </w:pPr>
            <w:r w:rsidRPr="004D5385">
              <w:rPr>
                <w:b/>
                <w:sz w:val="22"/>
                <w:szCs w:val="22"/>
              </w:rPr>
              <w:t>Contract</w:t>
            </w:r>
          </w:p>
        </w:tc>
        <w:tc>
          <w:tcPr>
            <w:tcW w:w="2686" w:type="dxa"/>
            <w:vAlign w:val="center"/>
          </w:tcPr>
          <w:p w:rsidR="00493FEE" w:rsidRPr="004D5385" w:rsidRDefault="00493FEE" w:rsidP="00E35FC1">
            <w:pPr>
              <w:jc w:val="center"/>
              <w:rPr>
                <w:b/>
                <w:sz w:val="22"/>
                <w:szCs w:val="22"/>
              </w:rPr>
            </w:pPr>
            <w:r w:rsidRPr="004D5385">
              <w:rPr>
                <w:b/>
                <w:sz w:val="22"/>
                <w:szCs w:val="22"/>
              </w:rPr>
              <w:t>Description</w:t>
            </w:r>
          </w:p>
        </w:tc>
        <w:tc>
          <w:tcPr>
            <w:tcW w:w="705" w:type="dxa"/>
            <w:vAlign w:val="center"/>
          </w:tcPr>
          <w:p w:rsidR="00493FEE" w:rsidRPr="004D5385" w:rsidRDefault="00493FEE" w:rsidP="00E35FC1">
            <w:pPr>
              <w:jc w:val="center"/>
              <w:rPr>
                <w:b/>
                <w:sz w:val="22"/>
                <w:szCs w:val="22"/>
              </w:rPr>
            </w:pPr>
            <w:r>
              <w:rPr>
                <w:b/>
                <w:sz w:val="22"/>
                <w:szCs w:val="22"/>
              </w:rPr>
              <w:t># o</w:t>
            </w:r>
            <w:r w:rsidRPr="004D5385">
              <w:rPr>
                <w:b/>
                <w:sz w:val="22"/>
                <w:szCs w:val="22"/>
              </w:rPr>
              <w:t>f</w:t>
            </w:r>
            <w:r>
              <w:rPr>
                <w:b/>
                <w:sz w:val="22"/>
                <w:szCs w:val="22"/>
              </w:rPr>
              <w:br/>
            </w:r>
            <w:r w:rsidRPr="004D5385">
              <w:rPr>
                <w:b/>
                <w:sz w:val="22"/>
                <w:szCs w:val="22"/>
              </w:rPr>
              <w:t>Bids</w:t>
            </w:r>
          </w:p>
        </w:tc>
        <w:tc>
          <w:tcPr>
            <w:tcW w:w="2127" w:type="dxa"/>
            <w:vAlign w:val="center"/>
          </w:tcPr>
          <w:p w:rsidR="00493FEE" w:rsidRPr="004D5385" w:rsidRDefault="00493FEE" w:rsidP="00E35FC1">
            <w:pPr>
              <w:jc w:val="center"/>
              <w:rPr>
                <w:b/>
                <w:sz w:val="22"/>
                <w:szCs w:val="22"/>
              </w:rPr>
            </w:pPr>
            <w:r w:rsidRPr="004D5385">
              <w:rPr>
                <w:b/>
                <w:sz w:val="22"/>
                <w:szCs w:val="22"/>
              </w:rPr>
              <w:t>Awarded Bid</w:t>
            </w:r>
          </w:p>
        </w:tc>
        <w:tc>
          <w:tcPr>
            <w:tcW w:w="1838" w:type="dxa"/>
            <w:vAlign w:val="center"/>
          </w:tcPr>
          <w:p w:rsidR="00493FEE" w:rsidRPr="004D5385" w:rsidRDefault="00493FEE" w:rsidP="00E35FC1">
            <w:pPr>
              <w:jc w:val="center"/>
              <w:rPr>
                <w:b/>
                <w:sz w:val="22"/>
                <w:szCs w:val="22"/>
              </w:rPr>
            </w:pPr>
            <w:r w:rsidRPr="004D5385">
              <w:rPr>
                <w:b/>
                <w:sz w:val="22"/>
                <w:szCs w:val="22"/>
              </w:rPr>
              <w:t>Approved</w:t>
            </w:r>
            <w:r w:rsidRPr="004D5385">
              <w:rPr>
                <w:b/>
                <w:sz w:val="22"/>
                <w:szCs w:val="22"/>
              </w:rPr>
              <w:br/>
              <w:t>Amount</w:t>
            </w:r>
          </w:p>
        </w:tc>
        <w:tc>
          <w:tcPr>
            <w:tcW w:w="1280" w:type="dxa"/>
            <w:vAlign w:val="center"/>
          </w:tcPr>
          <w:p w:rsidR="00493FEE" w:rsidRPr="004D5385" w:rsidRDefault="00493FEE" w:rsidP="00E35FC1">
            <w:pPr>
              <w:jc w:val="center"/>
              <w:rPr>
                <w:b/>
                <w:sz w:val="22"/>
                <w:szCs w:val="22"/>
              </w:rPr>
            </w:pPr>
            <w:r w:rsidRPr="004D5385">
              <w:rPr>
                <w:b/>
                <w:sz w:val="22"/>
                <w:szCs w:val="22"/>
              </w:rPr>
              <w:t>Awarded</w:t>
            </w:r>
            <w:r w:rsidRPr="004D5385">
              <w:rPr>
                <w:b/>
                <w:sz w:val="22"/>
                <w:szCs w:val="22"/>
              </w:rPr>
              <w:br/>
              <w:t>Amount (excl. HST)</w:t>
            </w:r>
          </w:p>
        </w:tc>
      </w:tr>
      <w:tr w:rsidR="00493FEE" w:rsidRPr="004D5385" w:rsidTr="005D3805">
        <w:trPr>
          <w:trHeight w:val="727"/>
          <w:tblHeader/>
        </w:trPr>
        <w:tc>
          <w:tcPr>
            <w:tcW w:w="1933" w:type="dxa"/>
            <w:vAlign w:val="center"/>
          </w:tcPr>
          <w:p w:rsidR="00493FEE" w:rsidRPr="004D5385" w:rsidRDefault="009C3470" w:rsidP="00E35FC1">
            <w:pPr>
              <w:jc w:val="center"/>
              <w:rPr>
                <w:sz w:val="22"/>
                <w:szCs w:val="22"/>
              </w:rPr>
            </w:pPr>
            <w:r>
              <w:rPr>
                <w:sz w:val="22"/>
                <w:szCs w:val="22"/>
              </w:rPr>
              <w:t>RFP-CC-02-14</w:t>
            </w:r>
          </w:p>
        </w:tc>
        <w:tc>
          <w:tcPr>
            <w:tcW w:w="2686" w:type="dxa"/>
            <w:vAlign w:val="center"/>
          </w:tcPr>
          <w:p w:rsidR="00493FEE" w:rsidRPr="004D5385" w:rsidRDefault="009C3470" w:rsidP="00E35FC1">
            <w:pPr>
              <w:jc w:val="center"/>
              <w:rPr>
                <w:sz w:val="22"/>
                <w:szCs w:val="22"/>
              </w:rPr>
            </w:pPr>
            <w:r>
              <w:rPr>
                <w:sz w:val="22"/>
                <w:szCs w:val="22"/>
              </w:rPr>
              <w:t>Economic Development</w:t>
            </w:r>
          </w:p>
        </w:tc>
        <w:tc>
          <w:tcPr>
            <w:tcW w:w="705" w:type="dxa"/>
            <w:vAlign w:val="center"/>
          </w:tcPr>
          <w:p w:rsidR="00493FEE" w:rsidRPr="004D5385" w:rsidRDefault="009C3470" w:rsidP="00E35FC1">
            <w:pPr>
              <w:jc w:val="center"/>
              <w:rPr>
                <w:sz w:val="22"/>
                <w:szCs w:val="22"/>
              </w:rPr>
            </w:pPr>
            <w:r>
              <w:rPr>
                <w:sz w:val="22"/>
                <w:szCs w:val="22"/>
              </w:rPr>
              <w:t>6</w:t>
            </w:r>
          </w:p>
        </w:tc>
        <w:tc>
          <w:tcPr>
            <w:tcW w:w="2127" w:type="dxa"/>
            <w:vAlign w:val="center"/>
          </w:tcPr>
          <w:p w:rsidR="00493FEE" w:rsidRPr="004D5385" w:rsidRDefault="009C3470" w:rsidP="00E35FC1">
            <w:pPr>
              <w:jc w:val="center"/>
              <w:rPr>
                <w:sz w:val="22"/>
                <w:szCs w:val="22"/>
              </w:rPr>
            </w:pPr>
            <w:r>
              <w:rPr>
                <w:sz w:val="22"/>
                <w:szCs w:val="22"/>
              </w:rPr>
              <w:t>McSweeney and Associates Consulting Inc.</w:t>
            </w:r>
          </w:p>
        </w:tc>
        <w:tc>
          <w:tcPr>
            <w:tcW w:w="1838" w:type="dxa"/>
            <w:vAlign w:val="center"/>
          </w:tcPr>
          <w:p w:rsidR="00493FEE" w:rsidRPr="004D5385" w:rsidRDefault="009C3470" w:rsidP="009C3470">
            <w:pPr>
              <w:jc w:val="center"/>
              <w:rPr>
                <w:sz w:val="22"/>
                <w:szCs w:val="22"/>
              </w:rPr>
            </w:pPr>
            <w:r>
              <w:rPr>
                <w:sz w:val="22"/>
                <w:szCs w:val="22"/>
              </w:rPr>
              <w:t>$75,000</w:t>
            </w:r>
          </w:p>
        </w:tc>
        <w:tc>
          <w:tcPr>
            <w:tcW w:w="1280" w:type="dxa"/>
            <w:vAlign w:val="center"/>
          </w:tcPr>
          <w:p w:rsidR="00493FEE" w:rsidRPr="004D5385" w:rsidRDefault="009C3470" w:rsidP="00E35FC1">
            <w:pPr>
              <w:jc w:val="center"/>
              <w:rPr>
                <w:sz w:val="22"/>
                <w:szCs w:val="22"/>
              </w:rPr>
            </w:pPr>
            <w:r>
              <w:rPr>
                <w:sz w:val="22"/>
                <w:szCs w:val="22"/>
              </w:rPr>
              <w:t>$59,975</w:t>
            </w:r>
          </w:p>
        </w:tc>
      </w:tr>
      <w:tr w:rsidR="007E042F" w:rsidRPr="004D5385" w:rsidTr="005D3805">
        <w:trPr>
          <w:trHeight w:val="727"/>
          <w:tblHeader/>
        </w:trPr>
        <w:tc>
          <w:tcPr>
            <w:tcW w:w="1933" w:type="dxa"/>
            <w:vAlign w:val="center"/>
          </w:tcPr>
          <w:p w:rsidR="007E042F" w:rsidRDefault="007E042F" w:rsidP="00E35FC1">
            <w:pPr>
              <w:jc w:val="center"/>
              <w:rPr>
                <w:sz w:val="22"/>
                <w:szCs w:val="22"/>
              </w:rPr>
            </w:pPr>
            <w:r>
              <w:rPr>
                <w:sz w:val="22"/>
                <w:szCs w:val="22"/>
              </w:rPr>
              <w:t>RFP-PCD-05-14</w:t>
            </w:r>
          </w:p>
        </w:tc>
        <w:tc>
          <w:tcPr>
            <w:tcW w:w="2686" w:type="dxa"/>
            <w:vAlign w:val="center"/>
          </w:tcPr>
          <w:p w:rsidR="007E042F" w:rsidRDefault="007E042F" w:rsidP="00E35FC1">
            <w:pPr>
              <w:jc w:val="center"/>
              <w:rPr>
                <w:sz w:val="22"/>
                <w:szCs w:val="22"/>
              </w:rPr>
            </w:pPr>
            <w:r>
              <w:rPr>
                <w:sz w:val="22"/>
                <w:szCs w:val="22"/>
              </w:rPr>
              <w:t>Growth Management Study</w:t>
            </w:r>
          </w:p>
        </w:tc>
        <w:tc>
          <w:tcPr>
            <w:tcW w:w="705" w:type="dxa"/>
            <w:vAlign w:val="center"/>
          </w:tcPr>
          <w:p w:rsidR="007E042F" w:rsidRDefault="007E042F" w:rsidP="00E35FC1">
            <w:pPr>
              <w:jc w:val="center"/>
              <w:rPr>
                <w:sz w:val="22"/>
                <w:szCs w:val="22"/>
              </w:rPr>
            </w:pPr>
            <w:r>
              <w:rPr>
                <w:sz w:val="22"/>
                <w:szCs w:val="22"/>
              </w:rPr>
              <w:t>3</w:t>
            </w:r>
          </w:p>
        </w:tc>
        <w:tc>
          <w:tcPr>
            <w:tcW w:w="2127" w:type="dxa"/>
            <w:vAlign w:val="center"/>
          </w:tcPr>
          <w:p w:rsidR="007E042F" w:rsidRDefault="007E042F" w:rsidP="00E35FC1">
            <w:pPr>
              <w:jc w:val="center"/>
              <w:rPr>
                <w:sz w:val="22"/>
                <w:szCs w:val="22"/>
              </w:rPr>
            </w:pPr>
            <w:proofErr w:type="spellStart"/>
            <w:r>
              <w:rPr>
                <w:sz w:val="22"/>
                <w:szCs w:val="22"/>
              </w:rPr>
              <w:t>Hemson</w:t>
            </w:r>
            <w:proofErr w:type="spellEnd"/>
            <w:r>
              <w:rPr>
                <w:sz w:val="22"/>
                <w:szCs w:val="22"/>
              </w:rPr>
              <w:t xml:space="preserve"> Consulting Ltd.</w:t>
            </w:r>
          </w:p>
        </w:tc>
        <w:tc>
          <w:tcPr>
            <w:tcW w:w="1838" w:type="dxa"/>
            <w:vAlign w:val="center"/>
          </w:tcPr>
          <w:p w:rsidR="007E042F" w:rsidRDefault="000C5000" w:rsidP="009C3470">
            <w:pPr>
              <w:jc w:val="center"/>
              <w:rPr>
                <w:sz w:val="22"/>
                <w:szCs w:val="22"/>
              </w:rPr>
            </w:pPr>
            <w:r>
              <w:rPr>
                <w:sz w:val="22"/>
                <w:szCs w:val="22"/>
              </w:rPr>
              <w:t>$60,000</w:t>
            </w:r>
          </w:p>
        </w:tc>
        <w:tc>
          <w:tcPr>
            <w:tcW w:w="1280" w:type="dxa"/>
            <w:vAlign w:val="center"/>
          </w:tcPr>
          <w:p w:rsidR="007E042F" w:rsidRDefault="007E042F" w:rsidP="007E042F">
            <w:pPr>
              <w:jc w:val="center"/>
              <w:rPr>
                <w:sz w:val="22"/>
                <w:szCs w:val="22"/>
              </w:rPr>
            </w:pPr>
            <w:r>
              <w:rPr>
                <w:sz w:val="22"/>
                <w:szCs w:val="22"/>
              </w:rPr>
              <w:t>$52,975</w:t>
            </w:r>
          </w:p>
        </w:tc>
      </w:tr>
    </w:tbl>
    <w:p w:rsidR="00AC3A8B" w:rsidRPr="00580AAD" w:rsidRDefault="00AC3A8B" w:rsidP="00AC3A8B">
      <w:pPr>
        <w:pStyle w:val="Heading2"/>
      </w:pPr>
      <w:r w:rsidRPr="00580AAD">
        <w:lastRenderedPageBreak/>
        <w:t>Link to Strategic Goals / Priorities</w:t>
      </w:r>
    </w:p>
    <w:p w:rsidR="00493FEE" w:rsidRDefault="00493FEE" w:rsidP="00493FEE">
      <w:r>
        <w:t>The Values Statement of the approved Corporate Strategic Plan includes fiscal responsibility.  Consistent application of the purchasing policy requirements focuses on the commitment to ensure effective and efficient processes, which offer prudent use of public funds.</w:t>
      </w:r>
    </w:p>
    <w:p w:rsidR="00CF4AA5" w:rsidRDefault="00CF4AA5" w:rsidP="00CF4AA5">
      <w:pPr>
        <w:pStyle w:val="Heading2"/>
      </w:pPr>
      <w:r>
        <w:t xml:space="preserve">Attachments </w:t>
      </w:r>
    </w:p>
    <w:p w:rsidR="00816DA7" w:rsidRPr="00816DA7" w:rsidRDefault="00493FEE" w:rsidP="00CF4AA5">
      <w:r>
        <w:t>None</w:t>
      </w:r>
    </w:p>
    <w:p w:rsidR="00AC3A8B" w:rsidRPr="00B0378D" w:rsidRDefault="00AC3A8B" w:rsidP="00AC3A8B">
      <w:r w:rsidRPr="00B0378D">
        <w:t>Respectfully submitted by,</w:t>
      </w:r>
    </w:p>
    <w:p w:rsidR="00027A82" w:rsidRDefault="0092722F" w:rsidP="00493FEE">
      <w:pPr>
        <w:spacing w:line="240" w:lineRule="auto"/>
        <w:contextualSpacing/>
      </w:pPr>
      <w:r>
        <w:t>Sharon Vokes</w:t>
      </w:r>
    </w:p>
    <w:p w:rsidR="0092722F" w:rsidRDefault="0092722F" w:rsidP="00493FEE">
      <w:pPr>
        <w:spacing w:line="240" w:lineRule="auto"/>
        <w:contextualSpacing/>
      </w:pPr>
      <w:r>
        <w:t>County Clerk / Director of Council Services</w:t>
      </w:r>
    </w:p>
    <w:p w:rsidR="00EA725F" w:rsidRDefault="00EA725F" w:rsidP="00493FEE">
      <w:pPr>
        <w:spacing w:line="240" w:lineRule="auto"/>
        <w:contextualSpacing/>
      </w:pPr>
    </w:p>
    <w:p w:rsidR="00EA725F" w:rsidRDefault="00EA725F" w:rsidP="00EA725F">
      <w:pPr>
        <w:spacing w:line="240" w:lineRule="auto"/>
        <w:contextualSpacing/>
      </w:pPr>
      <w:r>
        <w:t>Randy Scherzer</w:t>
      </w:r>
    </w:p>
    <w:p w:rsidR="00AC3A8B" w:rsidRPr="00B0378D" w:rsidRDefault="00EA725F" w:rsidP="001A2851">
      <w:pPr>
        <w:spacing w:line="240" w:lineRule="auto"/>
        <w:contextualSpacing/>
      </w:pPr>
      <w:r>
        <w:t>Director of Planning and Development</w:t>
      </w:r>
      <w:bookmarkStart w:id="0" w:name="_GoBack"/>
      <w:bookmarkEnd w:id="0"/>
    </w:p>
    <w:p w:rsidR="00FE7170" w:rsidRDefault="00FE7170" w:rsidP="00A85D36"/>
    <w:sectPr w:rsidR="00FE7170" w:rsidSect="00953DFC">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C" w:rsidRDefault="001F1D7C" w:rsidP="00883D8D">
      <w:pPr>
        <w:spacing w:after="0" w:line="240" w:lineRule="auto"/>
      </w:pPr>
      <w:r>
        <w:separator/>
      </w:r>
    </w:p>
  </w:endnote>
  <w:endnote w:type="continuationSeparator" w:id="0">
    <w:p w:rsidR="001F1D7C" w:rsidRDefault="001F1D7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92722F" w:rsidP="00AC3A8B">
    <w:pPr>
      <w:pStyle w:val="Footer"/>
      <w:rPr>
        <w:sz w:val="22"/>
        <w:szCs w:val="22"/>
      </w:rPr>
    </w:pPr>
    <w:r>
      <w:rPr>
        <w:sz w:val="22"/>
        <w:szCs w:val="22"/>
      </w:rPr>
      <w:t>CCR-PCD-25-14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1A2851">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July 22</w:t>
    </w:r>
    <w:r w:rsidR="00493FEE">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C" w:rsidRDefault="001F1D7C" w:rsidP="00883D8D">
      <w:pPr>
        <w:spacing w:after="0" w:line="240" w:lineRule="auto"/>
      </w:pPr>
      <w:r>
        <w:separator/>
      </w:r>
    </w:p>
  </w:footnote>
  <w:footnote w:type="continuationSeparator" w:id="0">
    <w:p w:rsidR="001F1D7C" w:rsidRDefault="001F1D7C"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7A82"/>
    <w:rsid w:val="00047A0A"/>
    <w:rsid w:val="00081FCF"/>
    <w:rsid w:val="000B7C11"/>
    <w:rsid w:val="000C5000"/>
    <w:rsid w:val="00113FCB"/>
    <w:rsid w:val="001A2851"/>
    <w:rsid w:val="001F1D7C"/>
    <w:rsid w:val="00247CA8"/>
    <w:rsid w:val="002915BC"/>
    <w:rsid w:val="002C6064"/>
    <w:rsid w:val="003062A4"/>
    <w:rsid w:val="00446A72"/>
    <w:rsid w:val="00457F2B"/>
    <w:rsid w:val="00464176"/>
    <w:rsid w:val="00493FEE"/>
    <w:rsid w:val="004942B7"/>
    <w:rsid w:val="004F083D"/>
    <w:rsid w:val="005A360A"/>
    <w:rsid w:val="005D3805"/>
    <w:rsid w:val="00644370"/>
    <w:rsid w:val="006563A9"/>
    <w:rsid w:val="006B4C34"/>
    <w:rsid w:val="007E042F"/>
    <w:rsid w:val="00816DA7"/>
    <w:rsid w:val="00883D8D"/>
    <w:rsid w:val="00895616"/>
    <w:rsid w:val="0092722F"/>
    <w:rsid w:val="00953DFC"/>
    <w:rsid w:val="009C3470"/>
    <w:rsid w:val="00A52D13"/>
    <w:rsid w:val="00A607A3"/>
    <w:rsid w:val="00A63DD6"/>
    <w:rsid w:val="00A85D36"/>
    <w:rsid w:val="00AA5E09"/>
    <w:rsid w:val="00AB2197"/>
    <w:rsid w:val="00AC3A8B"/>
    <w:rsid w:val="00B12CC6"/>
    <w:rsid w:val="00B64986"/>
    <w:rsid w:val="00CE439D"/>
    <w:rsid w:val="00CF4AA5"/>
    <w:rsid w:val="00DC1FF0"/>
    <w:rsid w:val="00E32F4D"/>
    <w:rsid w:val="00EA725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9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9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2014-07-09T14:41:00+00:00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GC_100014441</documentNumber>
    <Municipality xmlns="e6cd7bd4-3f3e-4495-b8c9-139289cd76e6" xsi:nil="true"/>
    <gcNumber xmlns="e6cd7bd4-3f3e-4495-b8c9-139289cd76e6">GC_233048</gcNumber>
    <recordCategory xmlns="e6cd7bd4-3f3e-4495-b8c9-139289cd76e6">C11</recordCategory>
    <isPublic xmlns="e6cd7bd4-3f3e-4495-b8c9-139289cd76e6">true</isPublic>
    <sharedId xmlns="e6cd7bd4-3f3e-4495-b8c9-139289cd76e6">_grA_u5CR9-peB4GD8crQg</sharedId>
    <committee xmlns="e6cd7bd4-3f3e-4495-b8c9-139289cd76e6">Planning and Community Development Committee</committee>
    <meetingId xmlns="e6cd7bd4-3f3e-4495-b8c9-139289cd76e6">[2014-07-22 Planning &amp; Community Development [1033]]</meetingId>
    <capitalProjectPriority xmlns="e6cd7bd4-3f3e-4495-b8c9-139289cd76e6" xsi:nil="true"/>
    <policyApprovalDate xmlns="e6cd7bd4-3f3e-4495-b8c9-139289cd76e6" xsi:nil="true"/>
    <NodeRef xmlns="e6cd7bd4-3f3e-4495-b8c9-139289cd76e6">a30a1d1b-71dc-425b-8840-5c02434e7217</NodeRef>
    <addressees xmlns="e6cd7bd4-3f3e-4495-b8c9-139289cd76e6" xsi:nil="true"/>
    <identifier xmlns="e6cd7bd4-3f3e-4495-b8c9-139289cd76e6">2016-1466887949964</identifier>
    <reviewAsOf xmlns="e6cd7bd4-3f3e-4495-b8c9-139289cd76e6">2026-11-08T08:38:22+00:00</reviewAsOf>
    <bylawNumber xmlns="e6cd7bd4-3f3e-4495-b8c9-139289cd76e6" xsi:nil="true"/>
    <addressee xmlns="e6cd7bd4-3f3e-4495-b8c9-139289cd76e6" xsi:nil="true"/>
    <recordOriginatingLocation xmlns="e6cd7bd4-3f3e-4495-b8c9-139289cd76e6">workspace://SpacesStore/24bfa3a0-a2b9-434c-806f-35188b3d2fc6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AD001C5-9041-4B93-A710-7B14BB0A9202}">
  <ds:schemaRefs>
    <ds:schemaRef ds:uri="http://schemas.openxmlformats.org/officeDocument/2006/bibliography"/>
  </ds:schemaRefs>
</ds:datastoreItem>
</file>

<file path=customXml/itemProps2.xml><?xml version="1.0" encoding="utf-8"?>
<ds:datastoreItem xmlns:ds="http://schemas.openxmlformats.org/officeDocument/2006/customXml" ds:itemID="{EE077C85-54B6-4323-8063-2D5A288DAE41}"/>
</file>

<file path=customXml/itemProps3.xml><?xml version="1.0" encoding="utf-8"?>
<ds:datastoreItem xmlns:ds="http://schemas.openxmlformats.org/officeDocument/2006/customXml" ds:itemID="{A0F42319-72B2-4603-A267-22C4F29A431E}"/>
</file>

<file path=customXml/itemProps4.xml><?xml version="1.0" encoding="utf-8"?>
<ds:datastoreItem xmlns:ds="http://schemas.openxmlformats.org/officeDocument/2006/customXml" ds:itemID="{DD1EAFD3-EF21-4C19-AD9F-00B00E53A647}"/>
</file>

<file path=customXml/itemProps5.xml><?xml version="1.0" encoding="utf-8"?>
<ds:datastoreItem xmlns:ds="http://schemas.openxmlformats.org/officeDocument/2006/customXml" ds:itemID="{96B85471-C5CA-4D1B-BF4D-5BE30DF1F882}"/>
</file>

<file path=docProps/app.xml><?xml version="1.0" encoding="utf-8"?>
<Properties xmlns="http://schemas.openxmlformats.org/officeDocument/2006/extended-properties" xmlns:vt="http://schemas.openxmlformats.org/officeDocument/2006/docPropsVTypes">
  <Template>Normal</Template>
  <TotalTime>36</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2013-01-28T14:48:00Z</cp:lastPrinted>
  <dcterms:created xsi:type="dcterms:W3CDTF">2014-07-09T18:41:00Z</dcterms:created>
  <dcterms:modified xsi:type="dcterms:W3CDTF">2014-08-21T16:27:00Z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