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4D923" w14:textId="2820C320" w:rsidR="00AC3A8B" w:rsidRDefault="00AA5E09" w:rsidP="00A63BE0">
      <w:pPr>
        <w:pStyle w:val="Title"/>
        <w:widowControl w:val="0"/>
        <w:spacing w:after="360"/>
        <w:contextualSpacing w:val="0"/>
      </w:pPr>
      <w:r w:rsidRPr="00AA5E09">
        <w:rPr>
          <w:noProof/>
          <w:lang w:val="en-CA" w:eastAsia="en-CA"/>
        </w:rPr>
        <w:drawing>
          <wp:inline distT="0" distB="0" distL="0" distR="0" wp14:anchorId="0284D93A" wp14:editId="0284D93B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>Committee Report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mmittee Report Details"/>
      </w:tblPr>
      <w:tblGrid>
        <w:gridCol w:w="2844"/>
        <w:gridCol w:w="6506"/>
      </w:tblGrid>
      <w:tr w:rsidR="00516E8C" w14:paraId="4A18B44B" w14:textId="77777777" w:rsidTr="00B7545F">
        <w:trPr>
          <w:tblHeader/>
        </w:trPr>
        <w:tc>
          <w:tcPr>
            <w:tcW w:w="2898" w:type="dxa"/>
          </w:tcPr>
          <w:p w14:paraId="5824161E" w14:textId="278DA95D" w:rsidR="00516E8C" w:rsidRDefault="00516E8C" w:rsidP="00FF5EE5">
            <w:pPr>
              <w:spacing w:before="60" w:after="60"/>
            </w:pPr>
            <w:r w:rsidRPr="00FB686F">
              <w:rPr>
                <w:rStyle w:val="Strong"/>
              </w:rPr>
              <w:t>To</w:t>
            </w:r>
            <w:r w:rsidRPr="00FB686F">
              <w:t>:</w:t>
            </w:r>
          </w:p>
        </w:tc>
        <w:tc>
          <w:tcPr>
            <w:tcW w:w="6678" w:type="dxa"/>
          </w:tcPr>
          <w:p w14:paraId="7B717169" w14:textId="2C37157D" w:rsidR="00516E8C" w:rsidRDefault="00516E8C" w:rsidP="0029466F">
            <w:pPr>
              <w:spacing w:before="60" w:after="60"/>
            </w:pPr>
            <w:r w:rsidRPr="00CF0CF7">
              <w:t xml:space="preserve">Warden </w:t>
            </w:r>
            <w:r w:rsidR="00425A74">
              <w:t>McQueen</w:t>
            </w:r>
            <w:r>
              <w:t xml:space="preserve"> </w:t>
            </w:r>
            <w:r w:rsidRPr="00CF0CF7">
              <w:t>and Members of Grey County</w:t>
            </w:r>
            <w:r>
              <w:t xml:space="preserve"> </w:t>
            </w:r>
            <w:r w:rsidRPr="00CF0CF7">
              <w:t>Council</w:t>
            </w:r>
          </w:p>
        </w:tc>
      </w:tr>
      <w:tr w:rsidR="00516E8C" w14:paraId="4E9413DC" w14:textId="77777777" w:rsidTr="00FF5EE5">
        <w:tc>
          <w:tcPr>
            <w:tcW w:w="2898" w:type="dxa"/>
          </w:tcPr>
          <w:p w14:paraId="080E3B49" w14:textId="2088AC47" w:rsidR="00516E8C" w:rsidRPr="00FB686F" w:rsidRDefault="00516E8C" w:rsidP="00FF5EE5">
            <w:pPr>
              <w:spacing w:before="60" w:after="60"/>
              <w:rPr>
                <w:rStyle w:val="Strong"/>
              </w:rPr>
            </w:pPr>
            <w:r>
              <w:rPr>
                <w:rStyle w:val="Strong"/>
              </w:rPr>
              <w:t>Committee Date</w:t>
            </w:r>
            <w:r w:rsidRPr="00CD64E9">
              <w:rPr>
                <w:b/>
              </w:rPr>
              <w:t>:</w:t>
            </w:r>
          </w:p>
        </w:tc>
        <w:tc>
          <w:tcPr>
            <w:tcW w:w="6678" w:type="dxa"/>
          </w:tcPr>
          <w:p w14:paraId="25051219" w14:textId="3BC52A6A" w:rsidR="00516E8C" w:rsidRPr="00CF0CF7" w:rsidRDefault="00516E8C" w:rsidP="0029466F">
            <w:pPr>
              <w:spacing w:before="60" w:after="60"/>
            </w:pPr>
            <w:r>
              <w:t xml:space="preserve">January </w:t>
            </w:r>
            <w:r w:rsidR="00F97CF2">
              <w:t>9</w:t>
            </w:r>
            <w:r>
              <w:t>, 20</w:t>
            </w:r>
            <w:r w:rsidR="00F97CF2">
              <w:t>20</w:t>
            </w:r>
          </w:p>
        </w:tc>
      </w:tr>
      <w:tr w:rsidR="00516E8C" w14:paraId="5F263942" w14:textId="77777777" w:rsidTr="00FF5EE5">
        <w:tc>
          <w:tcPr>
            <w:tcW w:w="2898" w:type="dxa"/>
          </w:tcPr>
          <w:p w14:paraId="58DB696C" w14:textId="40FE0427" w:rsidR="00516E8C" w:rsidRDefault="00516E8C" w:rsidP="00FF5EE5">
            <w:pPr>
              <w:spacing w:before="60" w:after="60"/>
              <w:rPr>
                <w:rStyle w:val="Strong"/>
              </w:rPr>
            </w:pPr>
            <w:r>
              <w:rPr>
                <w:b/>
              </w:rPr>
              <w:t>Subject / Report No:</w:t>
            </w:r>
          </w:p>
        </w:tc>
        <w:tc>
          <w:tcPr>
            <w:tcW w:w="6678" w:type="dxa"/>
          </w:tcPr>
          <w:p w14:paraId="746844D9" w14:textId="412634B5" w:rsidR="00516E8C" w:rsidRPr="00CF0CF7" w:rsidRDefault="00516E8C" w:rsidP="0077581D">
            <w:pPr>
              <w:spacing w:before="60" w:after="60"/>
            </w:pPr>
            <w:r>
              <w:t>TR-CW-0</w:t>
            </w:r>
            <w:r w:rsidR="004216D5">
              <w:t>3</w:t>
            </w:r>
            <w:r>
              <w:t>-</w:t>
            </w:r>
            <w:r w:rsidR="004216D5">
              <w:t>20</w:t>
            </w:r>
          </w:p>
        </w:tc>
      </w:tr>
      <w:tr w:rsidR="00516E8C" w14:paraId="7C5BEB7E" w14:textId="77777777" w:rsidTr="00FF5EE5">
        <w:tc>
          <w:tcPr>
            <w:tcW w:w="2898" w:type="dxa"/>
          </w:tcPr>
          <w:p w14:paraId="4A5BA8EA" w14:textId="6B2FCCB8" w:rsidR="00516E8C" w:rsidRDefault="00516E8C" w:rsidP="00FF5EE5">
            <w:pPr>
              <w:spacing w:before="60" w:after="60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6678" w:type="dxa"/>
          </w:tcPr>
          <w:p w14:paraId="396BEC7B" w14:textId="76FA2BB7" w:rsidR="00516E8C" w:rsidRPr="00CF0CF7" w:rsidRDefault="00992841" w:rsidP="0029466F">
            <w:pPr>
              <w:spacing w:before="60" w:after="60"/>
            </w:pPr>
            <w:r>
              <w:t>RFT-TS-</w:t>
            </w:r>
            <w:r w:rsidR="0029466F">
              <w:t>4</w:t>
            </w:r>
            <w:r w:rsidR="00F97CF2">
              <w:t>1</w:t>
            </w:r>
            <w:r w:rsidR="0077581D">
              <w:t>-1</w:t>
            </w:r>
            <w:r w:rsidR="00F97CF2">
              <w:t>9</w:t>
            </w:r>
            <w:r w:rsidR="0077581D">
              <w:t xml:space="preserve"> </w:t>
            </w:r>
            <w:r>
              <w:t xml:space="preserve">Award of </w:t>
            </w:r>
            <w:r w:rsidR="00F97CF2">
              <w:t>Two</w:t>
            </w:r>
            <w:r w:rsidR="0029466F">
              <w:t xml:space="preserve"> Tandem Trucks</w:t>
            </w:r>
          </w:p>
        </w:tc>
      </w:tr>
      <w:tr w:rsidR="00516E8C" w14:paraId="2B9A63AD" w14:textId="77777777" w:rsidTr="00FF5EE5">
        <w:tc>
          <w:tcPr>
            <w:tcW w:w="2898" w:type="dxa"/>
          </w:tcPr>
          <w:p w14:paraId="44120152" w14:textId="38FA8803" w:rsidR="00516E8C" w:rsidRDefault="00516E8C" w:rsidP="00FF5EE5">
            <w:pPr>
              <w:spacing w:before="60" w:after="60"/>
              <w:rPr>
                <w:b/>
              </w:rPr>
            </w:pPr>
            <w:r>
              <w:rPr>
                <w:b/>
              </w:rPr>
              <w:t>Prepared by:</w:t>
            </w:r>
          </w:p>
        </w:tc>
        <w:tc>
          <w:tcPr>
            <w:tcW w:w="6678" w:type="dxa"/>
          </w:tcPr>
          <w:p w14:paraId="01C98906" w14:textId="5F7F2BEE" w:rsidR="00516E8C" w:rsidRPr="00CF0CF7" w:rsidRDefault="00992841" w:rsidP="00FF5EE5">
            <w:pPr>
              <w:spacing w:before="60" w:after="60"/>
            </w:pPr>
            <w:r>
              <w:t>Sharon Melville, Buyer and</w:t>
            </w:r>
            <w:r w:rsidR="006B264B">
              <w:br/>
            </w:r>
            <w:r w:rsidR="00F97CF2">
              <w:t>Steve Doll</w:t>
            </w:r>
            <w:r w:rsidR="006B264B">
              <w:t>m</w:t>
            </w:r>
            <w:r w:rsidR="00F97CF2">
              <w:t>aier</w:t>
            </w:r>
            <w:r>
              <w:t>, Maintenance Manager</w:t>
            </w:r>
          </w:p>
        </w:tc>
      </w:tr>
      <w:tr w:rsidR="00516E8C" w14:paraId="6C8399D7" w14:textId="77777777" w:rsidTr="00FF5EE5">
        <w:tc>
          <w:tcPr>
            <w:tcW w:w="2898" w:type="dxa"/>
          </w:tcPr>
          <w:p w14:paraId="448C4763" w14:textId="18437073" w:rsidR="00516E8C" w:rsidRDefault="00516E8C" w:rsidP="00FF5EE5">
            <w:pPr>
              <w:spacing w:before="60" w:after="60"/>
              <w:rPr>
                <w:b/>
              </w:rPr>
            </w:pPr>
            <w:r>
              <w:rPr>
                <w:b/>
              </w:rPr>
              <w:t>Reviewed by:</w:t>
            </w:r>
          </w:p>
        </w:tc>
        <w:tc>
          <w:tcPr>
            <w:tcW w:w="6678" w:type="dxa"/>
          </w:tcPr>
          <w:p w14:paraId="549B7FD3" w14:textId="2CC53FED" w:rsidR="00516E8C" w:rsidRPr="00CF0CF7" w:rsidRDefault="00516E8C" w:rsidP="00312D86">
            <w:pPr>
              <w:spacing w:before="60" w:after="60"/>
            </w:pPr>
            <w:r>
              <w:t>Kevin Weppler, Dir</w:t>
            </w:r>
            <w:r w:rsidRPr="006170C7">
              <w:t xml:space="preserve">ector of </w:t>
            </w:r>
            <w:r w:rsidR="00312D86" w:rsidRPr="006170C7">
              <w:t>Corporate Services</w:t>
            </w:r>
            <w:r w:rsidRPr="006170C7">
              <w:t xml:space="preserve"> a</w:t>
            </w:r>
            <w:r>
              <w:t>nd</w:t>
            </w:r>
            <w:r w:rsidR="006B264B">
              <w:br/>
            </w:r>
            <w:r>
              <w:t>Pat Hoy, Director of Transportation</w:t>
            </w:r>
            <w:r w:rsidR="006170C7">
              <w:t xml:space="preserve"> Services</w:t>
            </w:r>
          </w:p>
        </w:tc>
      </w:tr>
      <w:tr w:rsidR="00516E8C" w14:paraId="0300E8A3" w14:textId="77777777" w:rsidTr="00FF5EE5">
        <w:tc>
          <w:tcPr>
            <w:tcW w:w="2898" w:type="dxa"/>
          </w:tcPr>
          <w:p w14:paraId="575EF482" w14:textId="2C2473DA" w:rsidR="00516E8C" w:rsidRDefault="00516E8C" w:rsidP="00FF5EE5">
            <w:pPr>
              <w:spacing w:before="60" w:after="60"/>
              <w:rPr>
                <w:b/>
              </w:rPr>
            </w:pPr>
            <w:r>
              <w:rPr>
                <w:b/>
              </w:rPr>
              <w:t>Lower Tier(s) Affected:</w:t>
            </w:r>
          </w:p>
        </w:tc>
        <w:tc>
          <w:tcPr>
            <w:tcW w:w="6678" w:type="dxa"/>
          </w:tcPr>
          <w:p w14:paraId="70D6FEFB" w14:textId="710DEFA0" w:rsidR="00516E8C" w:rsidRPr="00CF0CF7" w:rsidRDefault="00516E8C" w:rsidP="00FF5EE5">
            <w:pPr>
              <w:spacing w:before="60" w:after="60"/>
            </w:pPr>
          </w:p>
        </w:tc>
      </w:tr>
      <w:tr w:rsidR="00FF5EE5" w14:paraId="0E0B39E2" w14:textId="77777777" w:rsidTr="00FF5EE5">
        <w:tc>
          <w:tcPr>
            <w:tcW w:w="2898" w:type="dxa"/>
          </w:tcPr>
          <w:p w14:paraId="4E351A78" w14:textId="530B9CEA" w:rsidR="00FF5EE5" w:rsidRDefault="00FF5EE5" w:rsidP="00FF5EE5">
            <w:pPr>
              <w:spacing w:before="60" w:after="60"/>
              <w:rPr>
                <w:b/>
              </w:rPr>
            </w:pPr>
            <w:r w:rsidRPr="00FB686F">
              <w:rPr>
                <w:rStyle w:val="Strong"/>
              </w:rPr>
              <w:t>Status</w:t>
            </w:r>
            <w:r w:rsidRPr="00CD64E9">
              <w:rPr>
                <w:b/>
              </w:rPr>
              <w:t>:</w:t>
            </w:r>
          </w:p>
        </w:tc>
        <w:tc>
          <w:tcPr>
            <w:tcW w:w="6678" w:type="dxa"/>
          </w:tcPr>
          <w:p w14:paraId="66455CEF" w14:textId="3AD2AAF8" w:rsidR="00FF5EE5" w:rsidRPr="00CF0CF7" w:rsidRDefault="00074F10" w:rsidP="00C70DA7">
            <w:pPr>
              <w:spacing w:before="60" w:after="60"/>
            </w:pPr>
            <w:r>
              <w:t xml:space="preserve">Recommendation adopted by Committee as presented per Resolution CW19-20; </w:t>
            </w:r>
            <w:r>
              <w:t>Endorsed by County Council January 23, 2020 per Resolution CC18-20;</w:t>
            </w:r>
            <w:r>
              <w:t xml:space="preserve"> </w:t>
            </w:r>
            <w:bookmarkStart w:id="0" w:name="_GoBack"/>
            <w:bookmarkEnd w:id="0"/>
          </w:p>
        </w:tc>
      </w:tr>
    </w:tbl>
    <w:p w14:paraId="0284D929" w14:textId="2D2E57D0" w:rsidR="00AC3A8B" w:rsidRPr="00FB686F" w:rsidRDefault="00FB203E" w:rsidP="00FF5EE5">
      <w:pPr>
        <w:pStyle w:val="Heading2"/>
        <w:keepNext w:val="0"/>
        <w:widowControl w:val="0"/>
        <w:spacing w:before="360"/>
      </w:pPr>
      <w:r>
        <w:t>Recommendation</w:t>
      </w:r>
    </w:p>
    <w:p w14:paraId="0284D92A" w14:textId="4E62D7C6" w:rsidR="00AC3A8B" w:rsidRPr="00BB50B4" w:rsidRDefault="00B97DD0" w:rsidP="007F6C52">
      <w:pPr>
        <w:pStyle w:val="ListParagraph"/>
        <w:numPr>
          <w:ilvl w:val="0"/>
          <w:numId w:val="2"/>
        </w:numPr>
        <w:spacing w:before="240" w:after="240"/>
        <w:contextualSpacing w:val="0"/>
        <w:rPr>
          <w:b/>
        </w:rPr>
      </w:pPr>
      <w:r w:rsidRPr="00B97DD0">
        <w:rPr>
          <w:b/>
        </w:rPr>
        <w:t>That</w:t>
      </w:r>
      <w:r w:rsidR="00A26CAD">
        <w:rPr>
          <w:b/>
        </w:rPr>
        <w:t xml:space="preserve"> </w:t>
      </w:r>
      <w:r w:rsidR="0027247E">
        <w:rPr>
          <w:b/>
        </w:rPr>
        <w:t>Report TR-CW-</w:t>
      </w:r>
      <w:r w:rsidR="00BB50B4">
        <w:rPr>
          <w:b/>
        </w:rPr>
        <w:t>03</w:t>
      </w:r>
      <w:r w:rsidR="0027247E">
        <w:rPr>
          <w:b/>
        </w:rPr>
        <w:t>-</w:t>
      </w:r>
      <w:r w:rsidR="00BB50B4">
        <w:rPr>
          <w:b/>
        </w:rPr>
        <w:t>20</w:t>
      </w:r>
      <w:r w:rsidR="0027247E">
        <w:rPr>
          <w:b/>
        </w:rPr>
        <w:t xml:space="preserve"> be received and that </w:t>
      </w:r>
      <w:r w:rsidR="00A26CAD">
        <w:rPr>
          <w:b/>
        </w:rPr>
        <w:t>RFT-TS-</w:t>
      </w:r>
      <w:r w:rsidR="0029466F">
        <w:rPr>
          <w:b/>
        </w:rPr>
        <w:t>4</w:t>
      </w:r>
      <w:r w:rsidR="00BB50B4">
        <w:rPr>
          <w:b/>
        </w:rPr>
        <w:t>1</w:t>
      </w:r>
      <w:r w:rsidR="00A26CAD">
        <w:rPr>
          <w:b/>
        </w:rPr>
        <w:t>-1</w:t>
      </w:r>
      <w:r w:rsidR="00BB50B4">
        <w:rPr>
          <w:b/>
        </w:rPr>
        <w:t>9</w:t>
      </w:r>
      <w:r w:rsidR="00A26CAD">
        <w:rPr>
          <w:b/>
        </w:rPr>
        <w:t xml:space="preserve"> </w:t>
      </w:r>
      <w:r w:rsidR="001919C4">
        <w:rPr>
          <w:b/>
        </w:rPr>
        <w:t xml:space="preserve">for </w:t>
      </w:r>
      <w:r w:rsidR="00BB50B4">
        <w:rPr>
          <w:b/>
        </w:rPr>
        <w:t>two</w:t>
      </w:r>
      <w:r w:rsidR="001919C4">
        <w:rPr>
          <w:b/>
        </w:rPr>
        <w:t xml:space="preserve"> tandem </w:t>
      </w:r>
      <w:r w:rsidR="001919C4" w:rsidRPr="007F6C52">
        <w:rPr>
          <w:rFonts w:cs="Arial"/>
          <w:b/>
          <w:szCs w:val="36"/>
        </w:rPr>
        <w:t>t</w:t>
      </w:r>
      <w:r w:rsidR="00A26CAD" w:rsidRPr="007F6C52">
        <w:rPr>
          <w:rFonts w:cs="Arial"/>
          <w:b/>
          <w:szCs w:val="36"/>
        </w:rPr>
        <w:t>rucks</w:t>
      </w:r>
      <w:r w:rsidR="00A26CAD">
        <w:rPr>
          <w:b/>
        </w:rPr>
        <w:t xml:space="preserve"> be awarded to </w:t>
      </w:r>
      <w:r w:rsidR="00BB50B4">
        <w:rPr>
          <w:b/>
        </w:rPr>
        <w:t xml:space="preserve">Lewis Motor Sales </w:t>
      </w:r>
      <w:r w:rsidR="00A26CAD">
        <w:rPr>
          <w:b/>
        </w:rPr>
        <w:t xml:space="preserve">for the bid amount of </w:t>
      </w:r>
      <w:r w:rsidR="00A26CAD" w:rsidRPr="00BB50B4">
        <w:rPr>
          <w:b/>
        </w:rPr>
        <w:t>$</w:t>
      </w:r>
      <w:r w:rsidR="00BB50B4" w:rsidRPr="00BB50B4">
        <w:rPr>
          <w:rFonts w:cs="Arial"/>
          <w:b/>
        </w:rPr>
        <w:t>623,495.64</w:t>
      </w:r>
      <w:r w:rsidR="00A26CAD" w:rsidRPr="00BB50B4">
        <w:rPr>
          <w:b/>
        </w:rPr>
        <w:t xml:space="preserve"> exclusive of HST</w:t>
      </w:r>
      <w:r w:rsidR="00992841" w:rsidRPr="00BB50B4">
        <w:rPr>
          <w:b/>
        </w:rPr>
        <w:t>.</w:t>
      </w:r>
    </w:p>
    <w:p w14:paraId="1D9D704A" w14:textId="77777777" w:rsidR="00CD64E9" w:rsidRDefault="00CD64E9" w:rsidP="006E00FA">
      <w:pPr>
        <w:pStyle w:val="Heading2"/>
        <w:keepNext w:val="0"/>
        <w:widowControl w:val="0"/>
      </w:pPr>
      <w:r>
        <w:t>Executive Summary</w:t>
      </w:r>
    </w:p>
    <w:p w14:paraId="502A1C15" w14:textId="52AAAE9E" w:rsidR="00D332F1" w:rsidRDefault="00D332F1" w:rsidP="00D332F1">
      <w:r>
        <w:t>Report TR-CW-</w:t>
      </w:r>
      <w:r w:rsidR="00276BE2">
        <w:t>19</w:t>
      </w:r>
      <w:r>
        <w:t>-</w:t>
      </w:r>
      <w:r w:rsidR="00276BE2">
        <w:t>19</w:t>
      </w:r>
      <w:r>
        <w:t xml:space="preserve"> was endorsed at County Council on </w:t>
      </w:r>
      <w:r w:rsidR="00276BE2">
        <w:t>October 10, 2019</w:t>
      </w:r>
      <w:r w:rsidR="00C14CD6">
        <w:t xml:space="preserve"> authorizing S</w:t>
      </w:r>
      <w:r>
        <w:t xml:space="preserve">taff to tender for </w:t>
      </w:r>
      <w:r w:rsidR="00276BE2">
        <w:t>two</w:t>
      </w:r>
      <w:r>
        <w:t xml:space="preserve"> tandem trucks prior to the </w:t>
      </w:r>
      <w:r w:rsidR="00276BE2">
        <w:t>2020</w:t>
      </w:r>
      <w:r>
        <w:t xml:space="preserve"> budget approval.</w:t>
      </w:r>
    </w:p>
    <w:p w14:paraId="632EC348" w14:textId="61694700" w:rsidR="00D332F1" w:rsidRPr="00770B51" w:rsidRDefault="00D332F1" w:rsidP="00D332F1">
      <w:pPr>
        <w:rPr>
          <w:rFonts w:cs="Arial"/>
        </w:rPr>
      </w:pPr>
      <w:r w:rsidRPr="00770B51">
        <w:rPr>
          <w:rFonts w:cs="Arial"/>
        </w:rPr>
        <w:t xml:space="preserve">The purpose of this early tender date </w:t>
      </w:r>
      <w:r w:rsidR="007F6C52">
        <w:rPr>
          <w:rFonts w:cs="Arial"/>
        </w:rPr>
        <w:t>was</w:t>
      </w:r>
      <w:r w:rsidRPr="00770B51">
        <w:rPr>
          <w:rFonts w:cs="Arial"/>
        </w:rPr>
        <w:t xml:space="preserve"> to expedite the delivery of the units to ensure that they are available for use for the </w:t>
      </w:r>
      <w:r w:rsidR="00276BE2">
        <w:rPr>
          <w:rFonts w:cs="Arial"/>
        </w:rPr>
        <w:t>2020</w:t>
      </w:r>
      <w:r w:rsidRPr="00770B51">
        <w:rPr>
          <w:rFonts w:cs="Arial"/>
        </w:rPr>
        <w:t>/</w:t>
      </w:r>
      <w:r w:rsidR="0029466F">
        <w:rPr>
          <w:rFonts w:cs="Arial"/>
        </w:rPr>
        <w:t>202</w:t>
      </w:r>
      <w:r w:rsidR="00276BE2">
        <w:rPr>
          <w:rFonts w:cs="Arial"/>
        </w:rPr>
        <w:t>1</w:t>
      </w:r>
      <w:r w:rsidRPr="00770B51">
        <w:rPr>
          <w:rFonts w:cs="Arial"/>
        </w:rPr>
        <w:t xml:space="preserve"> winter season. </w:t>
      </w:r>
      <w:r w:rsidR="00C14CD6">
        <w:rPr>
          <w:rFonts w:cs="Arial"/>
        </w:rPr>
        <w:t xml:space="preserve"> </w:t>
      </w:r>
      <w:r w:rsidR="006B264B" w:rsidRPr="00770B51">
        <w:rPr>
          <w:rFonts w:cs="Arial"/>
        </w:rPr>
        <w:t>History</w:t>
      </w:r>
      <w:r w:rsidRPr="00770B51">
        <w:rPr>
          <w:rFonts w:cs="Arial"/>
        </w:rPr>
        <w:t xml:space="preserve"> has shown that delivery takes </w:t>
      </w:r>
      <w:r w:rsidR="00276BE2">
        <w:rPr>
          <w:rFonts w:cs="Arial"/>
        </w:rPr>
        <w:t>seven</w:t>
      </w:r>
      <w:r w:rsidR="006170C7">
        <w:rPr>
          <w:rFonts w:cs="Arial"/>
        </w:rPr>
        <w:t xml:space="preserve"> </w:t>
      </w:r>
      <w:r>
        <w:rPr>
          <w:rFonts w:cs="Arial"/>
        </w:rPr>
        <w:t xml:space="preserve">to </w:t>
      </w:r>
      <w:r w:rsidR="006170C7">
        <w:rPr>
          <w:rFonts w:cs="Arial"/>
        </w:rPr>
        <w:t>nine</w:t>
      </w:r>
      <w:r w:rsidRPr="00770B51">
        <w:rPr>
          <w:rFonts w:cs="Arial"/>
        </w:rPr>
        <w:t xml:space="preserve"> months from the date of purchase.</w:t>
      </w:r>
    </w:p>
    <w:p w14:paraId="7A842F49" w14:textId="5343BA02" w:rsidR="00D332F1" w:rsidRDefault="00D332F1" w:rsidP="00D332F1">
      <w:r>
        <w:t xml:space="preserve">The tenders for the provision of </w:t>
      </w:r>
      <w:r w:rsidR="0029466F">
        <w:t>two stainless</w:t>
      </w:r>
      <w:r>
        <w:t xml:space="preserve"> steel box tandem plows were posted on </w:t>
      </w:r>
      <w:r w:rsidR="00276BE2">
        <w:t>Bonfire</w:t>
      </w:r>
      <w:r>
        <w:t xml:space="preserve"> from </w:t>
      </w:r>
      <w:r w:rsidR="0029466F">
        <w:t>November 2</w:t>
      </w:r>
      <w:r w:rsidR="00276BE2">
        <w:t>2</w:t>
      </w:r>
      <w:r w:rsidR="0029466F">
        <w:t>, 201</w:t>
      </w:r>
      <w:r w:rsidR="00276BE2">
        <w:t>9</w:t>
      </w:r>
      <w:r w:rsidRPr="006C7D16">
        <w:t xml:space="preserve"> to </w:t>
      </w:r>
      <w:r w:rsidR="0029466F">
        <w:t xml:space="preserve">December </w:t>
      </w:r>
      <w:r w:rsidR="00276BE2">
        <w:t>12</w:t>
      </w:r>
      <w:r w:rsidR="0029466F">
        <w:t xml:space="preserve">, </w:t>
      </w:r>
      <w:r w:rsidR="00276BE2">
        <w:t>2019</w:t>
      </w:r>
      <w:r>
        <w:t xml:space="preserve"> (closing date).</w:t>
      </w:r>
    </w:p>
    <w:p w14:paraId="0284D92B" w14:textId="54A8120B" w:rsidR="00AC3A8B" w:rsidRDefault="00AC3A8B" w:rsidP="006E00FA">
      <w:pPr>
        <w:pStyle w:val="Heading2"/>
        <w:keepNext w:val="0"/>
        <w:widowControl w:val="0"/>
      </w:pPr>
      <w:r w:rsidRPr="00B0378D">
        <w:t>Background</w:t>
      </w:r>
      <w:r w:rsidR="00CD64E9">
        <w:t xml:space="preserve"> and Discussion</w:t>
      </w:r>
    </w:p>
    <w:p w14:paraId="7C920C16" w14:textId="45E121F9" w:rsidR="00D332F1" w:rsidRDefault="00D332F1" w:rsidP="00D332F1">
      <w:pPr>
        <w:rPr>
          <w:rFonts w:cs="Arial"/>
        </w:rPr>
      </w:pPr>
      <w:r w:rsidRPr="00BE255F">
        <w:rPr>
          <w:rFonts w:cs="Arial"/>
          <w:bCs/>
          <w:iCs/>
        </w:rPr>
        <w:lastRenderedPageBreak/>
        <w:t>The tandem plows are utilized for</w:t>
      </w:r>
      <w:r w:rsidRPr="00BE255F">
        <w:rPr>
          <w:rFonts w:cs="Arial"/>
        </w:rPr>
        <w:t xml:space="preserve"> winter maintenance activities, including plowing and spreading winter materials.</w:t>
      </w:r>
      <w:r w:rsidR="00C14CD6">
        <w:rPr>
          <w:rFonts w:cs="Arial"/>
        </w:rPr>
        <w:t xml:space="preserve"> </w:t>
      </w:r>
      <w:r w:rsidRPr="00BE255F">
        <w:rPr>
          <w:rFonts w:cs="Arial"/>
        </w:rPr>
        <w:t xml:space="preserve"> During the summer months these trucks </w:t>
      </w:r>
      <w:r>
        <w:rPr>
          <w:rFonts w:cs="Arial"/>
        </w:rPr>
        <w:t>are</w:t>
      </w:r>
      <w:r w:rsidRPr="00BE255F">
        <w:rPr>
          <w:rFonts w:cs="Arial"/>
        </w:rPr>
        <w:t xml:space="preserve"> used </w:t>
      </w:r>
      <w:r>
        <w:rPr>
          <w:rFonts w:cs="Arial"/>
        </w:rPr>
        <w:t xml:space="preserve">to </w:t>
      </w:r>
      <w:r w:rsidRPr="00BE255F">
        <w:rPr>
          <w:rFonts w:cs="Arial"/>
        </w:rPr>
        <w:t xml:space="preserve">haul granular materials </w:t>
      </w:r>
      <w:r>
        <w:rPr>
          <w:rFonts w:cs="Arial"/>
        </w:rPr>
        <w:t>for use</w:t>
      </w:r>
      <w:r w:rsidRPr="00BE255F">
        <w:rPr>
          <w:rFonts w:cs="Arial"/>
        </w:rPr>
        <w:t xml:space="preserve"> in culvert replacement projects and maintenance activities</w:t>
      </w:r>
      <w:r w:rsidR="00C14CD6">
        <w:rPr>
          <w:rFonts w:cs="Arial"/>
        </w:rPr>
        <w:t>,</w:t>
      </w:r>
      <w:r w:rsidRPr="00BE255F">
        <w:rPr>
          <w:rFonts w:cs="Arial"/>
        </w:rPr>
        <w:t xml:space="preserve"> s</w:t>
      </w:r>
      <w:r w:rsidR="00BC0C64">
        <w:rPr>
          <w:rFonts w:cs="Arial"/>
        </w:rPr>
        <w:t>uch as placing shoulder gra</w:t>
      </w:r>
      <w:r w:rsidR="00C14CD6">
        <w:rPr>
          <w:rFonts w:cs="Arial"/>
        </w:rPr>
        <w:t>vel, edge patching with hot mix</w:t>
      </w:r>
      <w:r w:rsidR="00BC0C64">
        <w:rPr>
          <w:rFonts w:cs="Arial"/>
        </w:rPr>
        <w:t xml:space="preserve"> and </w:t>
      </w:r>
      <w:proofErr w:type="spellStart"/>
      <w:r w:rsidR="00BC0C64">
        <w:rPr>
          <w:rFonts w:cs="Arial"/>
        </w:rPr>
        <w:t>gradall</w:t>
      </w:r>
      <w:proofErr w:type="spellEnd"/>
      <w:r w:rsidR="00BC0C64">
        <w:rPr>
          <w:rFonts w:cs="Arial"/>
        </w:rPr>
        <w:t xml:space="preserve"> operations</w:t>
      </w:r>
      <w:r w:rsidR="00C14CD6">
        <w:rPr>
          <w:rFonts w:cs="Arial"/>
        </w:rPr>
        <w:t>,</w:t>
      </w:r>
      <w:r w:rsidR="00BC0C64">
        <w:rPr>
          <w:rFonts w:cs="Arial"/>
        </w:rPr>
        <w:t xml:space="preserve"> including ditch cleanout.</w:t>
      </w:r>
    </w:p>
    <w:p w14:paraId="234E0205" w14:textId="77777777" w:rsidR="006C29A1" w:rsidRPr="00340CC1" w:rsidRDefault="006C29A1" w:rsidP="006C29A1">
      <w:pPr>
        <w:rPr>
          <w:rStyle w:val="IntenseEmphasis"/>
          <w:b w:val="0"/>
        </w:rPr>
      </w:pPr>
      <w:r>
        <w:rPr>
          <w:rStyle w:val="IntenseEmphasis"/>
          <w:b w:val="0"/>
        </w:rPr>
        <w:t xml:space="preserve">With this </w:t>
      </w:r>
      <w:r w:rsidRPr="003A3E31">
        <w:rPr>
          <w:rStyle w:val="IntenseEmphasis"/>
          <w:b w:val="0"/>
        </w:rPr>
        <w:t>procurement of</w:t>
      </w:r>
      <w:r>
        <w:rPr>
          <w:rStyle w:val="IntenseEmphasis"/>
          <w:b w:val="0"/>
        </w:rPr>
        <w:t xml:space="preserve"> the</w:t>
      </w:r>
      <w:r w:rsidRPr="003A3E31">
        <w:rPr>
          <w:rStyle w:val="IntenseEmphasis"/>
          <w:b w:val="0"/>
        </w:rPr>
        <w:t xml:space="preserve"> two</w:t>
      </w:r>
      <w:r>
        <w:rPr>
          <w:rStyle w:val="IntenseEmphasis"/>
          <w:b w:val="0"/>
        </w:rPr>
        <w:t xml:space="preserve"> tandem trucks staff will be able to </w:t>
      </w:r>
      <w:r w:rsidRPr="003A3E31">
        <w:rPr>
          <w:rStyle w:val="IntenseEmphasis"/>
          <w:b w:val="0"/>
        </w:rPr>
        <w:t xml:space="preserve">replace </w:t>
      </w:r>
      <w:r>
        <w:rPr>
          <w:rStyle w:val="IntenseEmphasis"/>
          <w:b w:val="0"/>
        </w:rPr>
        <w:t xml:space="preserve">two of the older tandem </w:t>
      </w:r>
      <w:r w:rsidRPr="003A3E31">
        <w:rPr>
          <w:rStyle w:val="IntenseEmphasis"/>
          <w:b w:val="0"/>
        </w:rPr>
        <w:t>trucks that have reached end of life and are scheduled to be removed from service.  The units are used to support road maintenance</w:t>
      </w:r>
      <w:r>
        <w:rPr>
          <w:rStyle w:val="IntenseEmphasis"/>
          <w:b w:val="0"/>
        </w:rPr>
        <w:t xml:space="preserve"> </w:t>
      </w:r>
      <w:r w:rsidRPr="003A3E31">
        <w:rPr>
          <w:rStyle w:val="IntenseEmphasis"/>
          <w:b w:val="0"/>
        </w:rPr>
        <w:t>and snow operations through the winter season</w:t>
      </w:r>
      <w:r>
        <w:rPr>
          <w:rStyle w:val="IntenseEmphasis"/>
          <w:b w:val="0"/>
        </w:rPr>
        <w:t xml:space="preserve"> </w:t>
      </w:r>
      <w:r w:rsidRPr="003A3E31">
        <w:rPr>
          <w:rStyle w:val="IntenseEmphasis"/>
          <w:b w:val="0"/>
        </w:rPr>
        <w:t xml:space="preserve">on the road network and within </w:t>
      </w:r>
      <w:r>
        <w:rPr>
          <w:rStyle w:val="IntenseEmphasis"/>
          <w:b w:val="0"/>
        </w:rPr>
        <w:t>Grey County</w:t>
      </w:r>
      <w:r w:rsidRPr="003A3E31">
        <w:rPr>
          <w:rStyle w:val="IntenseEmphasis"/>
          <w:b w:val="0"/>
        </w:rPr>
        <w:t>.  The services delivered are key to ensuring we meet our commitment during this term of Council</w:t>
      </w:r>
      <w:r>
        <w:rPr>
          <w:rStyle w:val="IntenseEmphasis"/>
          <w:b w:val="0"/>
        </w:rPr>
        <w:t xml:space="preserve"> </w:t>
      </w:r>
      <w:r w:rsidRPr="003A3E31">
        <w:rPr>
          <w:rStyle w:val="IntenseEmphasis"/>
          <w:b w:val="0"/>
        </w:rPr>
        <w:t xml:space="preserve">to improve the </w:t>
      </w:r>
      <w:r>
        <w:rPr>
          <w:rStyle w:val="IntenseEmphasis"/>
          <w:b w:val="0"/>
        </w:rPr>
        <w:t>County</w:t>
      </w:r>
      <w:r w:rsidRPr="003A3E31">
        <w:rPr>
          <w:rStyle w:val="IntenseEmphasis"/>
          <w:b w:val="0"/>
        </w:rPr>
        <w:t xml:space="preserve">’s road network; ensure that we invest, renew and manage infrastructure and assets; and, ensure a focus on our commitment to improving Citizen experience by providing </w:t>
      </w:r>
      <w:r>
        <w:rPr>
          <w:rStyle w:val="IntenseEmphasis"/>
          <w:b w:val="0"/>
        </w:rPr>
        <w:t>c</w:t>
      </w:r>
      <w:r w:rsidRPr="003A3E31">
        <w:rPr>
          <w:rStyle w:val="IntenseEmphasis"/>
          <w:b w:val="0"/>
        </w:rPr>
        <w:t xml:space="preserve">onsistent </w:t>
      </w:r>
      <w:r>
        <w:rPr>
          <w:rStyle w:val="IntenseEmphasis"/>
          <w:b w:val="0"/>
        </w:rPr>
        <w:t>s</w:t>
      </w:r>
      <w:r w:rsidRPr="003A3E31">
        <w:rPr>
          <w:rStyle w:val="IntenseEmphasis"/>
          <w:b w:val="0"/>
        </w:rPr>
        <w:t xml:space="preserve">ervice </w:t>
      </w:r>
      <w:r>
        <w:rPr>
          <w:rStyle w:val="IntenseEmphasis"/>
          <w:b w:val="0"/>
        </w:rPr>
        <w:t>d</w:t>
      </w:r>
      <w:r w:rsidRPr="003A3E31">
        <w:rPr>
          <w:rStyle w:val="IntenseEmphasis"/>
          <w:b w:val="0"/>
        </w:rPr>
        <w:t>elivery through improved availability and use</w:t>
      </w:r>
      <w:r>
        <w:rPr>
          <w:rStyle w:val="IntenseEmphasis"/>
          <w:b w:val="0"/>
        </w:rPr>
        <w:t xml:space="preserve"> </w:t>
      </w:r>
      <w:r w:rsidRPr="003A3E31">
        <w:rPr>
          <w:rStyle w:val="IntenseEmphasis"/>
          <w:b w:val="0"/>
        </w:rPr>
        <w:t>of tools and resources</w:t>
      </w:r>
      <w:r>
        <w:rPr>
          <w:rStyle w:val="IntenseEmphasis"/>
          <w:b w:val="0"/>
        </w:rPr>
        <w:t>.</w:t>
      </w:r>
    </w:p>
    <w:p w14:paraId="09E6A414" w14:textId="58B07601" w:rsidR="00D332F1" w:rsidRDefault="00D332F1" w:rsidP="00D332F1">
      <w:pPr>
        <w:rPr>
          <w:rFonts w:cs="Arial"/>
        </w:rPr>
      </w:pPr>
      <w:r>
        <w:rPr>
          <w:rFonts w:cs="Arial"/>
        </w:rPr>
        <w:t>A</w:t>
      </w:r>
      <w:r w:rsidRPr="00466D59">
        <w:rPr>
          <w:rFonts w:cs="Arial"/>
        </w:rPr>
        <w:t>s per se</w:t>
      </w:r>
      <w:r w:rsidRPr="00D254D8">
        <w:rPr>
          <w:rFonts w:cs="Arial"/>
        </w:rPr>
        <w:t xml:space="preserve">ction </w:t>
      </w:r>
      <w:r w:rsidR="00D254D8" w:rsidRPr="00D254D8">
        <w:rPr>
          <w:rFonts w:cs="Arial"/>
        </w:rPr>
        <w:t>1</w:t>
      </w:r>
      <w:r w:rsidR="00D254D8" w:rsidRPr="00883957">
        <w:rPr>
          <w:rFonts w:cs="Arial"/>
        </w:rPr>
        <w:t>1</w:t>
      </w:r>
      <w:r w:rsidRPr="00D254D8">
        <w:rPr>
          <w:rFonts w:cs="Arial"/>
        </w:rPr>
        <w:t>.2 of the</w:t>
      </w:r>
      <w:r w:rsidRPr="00466D59">
        <w:rPr>
          <w:rFonts w:cs="Arial"/>
        </w:rPr>
        <w:t xml:space="preserve"> </w:t>
      </w:r>
      <w:r>
        <w:rPr>
          <w:rFonts w:cs="Arial"/>
        </w:rPr>
        <w:t>P</w:t>
      </w:r>
      <w:r w:rsidRPr="00466D59">
        <w:rPr>
          <w:rFonts w:cs="Arial"/>
        </w:rPr>
        <w:t xml:space="preserve">urchasing </w:t>
      </w:r>
      <w:r>
        <w:rPr>
          <w:rFonts w:cs="Arial"/>
        </w:rPr>
        <w:t>P</w:t>
      </w:r>
      <w:r w:rsidRPr="00466D59">
        <w:rPr>
          <w:rFonts w:cs="Arial"/>
        </w:rPr>
        <w:t>olicy</w:t>
      </w:r>
      <w:r>
        <w:rPr>
          <w:rFonts w:cs="Arial"/>
        </w:rPr>
        <w:t>, an opportunity</w:t>
      </w:r>
      <w:r w:rsidRPr="00466D59">
        <w:rPr>
          <w:rFonts w:cs="Arial"/>
        </w:rPr>
        <w:t xml:space="preserve"> to purchase </w:t>
      </w:r>
      <w:r w:rsidR="00276BE2">
        <w:rPr>
          <w:rFonts w:cs="Arial"/>
        </w:rPr>
        <w:t>two</w:t>
      </w:r>
      <w:r>
        <w:rPr>
          <w:rFonts w:cs="Arial"/>
        </w:rPr>
        <w:t xml:space="preserve"> used</w:t>
      </w:r>
      <w:r w:rsidRPr="00466D59">
        <w:rPr>
          <w:rFonts w:cs="Arial"/>
        </w:rPr>
        <w:t xml:space="preserve"> tandem axle trucks will be released to the </w:t>
      </w:r>
      <w:r>
        <w:rPr>
          <w:rFonts w:cs="Arial"/>
        </w:rPr>
        <w:t>member</w:t>
      </w:r>
      <w:r w:rsidRPr="00466D59">
        <w:rPr>
          <w:rFonts w:cs="Arial"/>
        </w:rPr>
        <w:t xml:space="preserve"> municipalities </w:t>
      </w:r>
      <w:r>
        <w:rPr>
          <w:rFonts w:cs="Arial"/>
        </w:rPr>
        <w:t>with</w:t>
      </w:r>
      <w:r w:rsidRPr="00466D59">
        <w:rPr>
          <w:rFonts w:cs="Arial"/>
        </w:rPr>
        <w:t>in Grey County</w:t>
      </w:r>
      <w:r w:rsidR="00C14CD6">
        <w:rPr>
          <w:rFonts w:cs="Arial"/>
        </w:rPr>
        <w:t>,</w:t>
      </w:r>
      <w:r w:rsidRPr="00466D59">
        <w:rPr>
          <w:rFonts w:cs="Arial"/>
        </w:rPr>
        <w:t xml:space="preserve"> once the </w:t>
      </w:r>
      <w:r w:rsidR="00276BE2">
        <w:rPr>
          <w:rFonts w:cs="Arial"/>
        </w:rPr>
        <w:t>two</w:t>
      </w:r>
      <w:r w:rsidRPr="00466D59">
        <w:rPr>
          <w:rFonts w:cs="Arial"/>
        </w:rPr>
        <w:t xml:space="preserve"> new tandems have been received</w:t>
      </w:r>
      <w:r>
        <w:rPr>
          <w:rFonts w:cs="Arial"/>
        </w:rPr>
        <w:t xml:space="preserve"> (in the fall of 20</w:t>
      </w:r>
      <w:r w:rsidR="00276BE2">
        <w:rPr>
          <w:rFonts w:cs="Arial"/>
        </w:rPr>
        <w:t>20</w:t>
      </w:r>
      <w:r>
        <w:rPr>
          <w:rFonts w:cs="Arial"/>
        </w:rPr>
        <w:t xml:space="preserve">). </w:t>
      </w:r>
      <w:r w:rsidR="00C14CD6">
        <w:rPr>
          <w:rFonts w:cs="Arial"/>
        </w:rPr>
        <w:t xml:space="preserve"> </w:t>
      </w:r>
      <w:r w:rsidR="00CD55AA">
        <w:rPr>
          <w:rFonts w:cs="Arial"/>
        </w:rPr>
        <w:t>Appropriate r</w:t>
      </w:r>
      <w:r w:rsidR="00CD55AA" w:rsidRPr="00883957">
        <w:rPr>
          <w:rFonts w:cs="Arial"/>
        </w:rPr>
        <w:t>eserve</w:t>
      </w:r>
      <w:r w:rsidR="006C0F24" w:rsidRPr="00883957">
        <w:rPr>
          <w:rFonts w:cs="Arial"/>
        </w:rPr>
        <w:t xml:space="preserve"> bids are </w:t>
      </w:r>
      <w:r w:rsidR="00CD55AA" w:rsidRPr="00883957">
        <w:rPr>
          <w:rFonts w:cs="Arial"/>
        </w:rPr>
        <w:t>placed on each</w:t>
      </w:r>
      <w:r w:rsidR="00C578E3" w:rsidRPr="00883957">
        <w:rPr>
          <w:rFonts w:cs="Arial"/>
        </w:rPr>
        <w:t xml:space="preserve"> </w:t>
      </w:r>
      <w:r w:rsidR="00CD55AA">
        <w:rPr>
          <w:rFonts w:cs="Arial"/>
        </w:rPr>
        <w:t>of</w:t>
      </w:r>
      <w:r w:rsidR="00CD55AA" w:rsidRPr="00883957">
        <w:rPr>
          <w:rFonts w:cs="Arial"/>
        </w:rPr>
        <w:t xml:space="preserve"> </w:t>
      </w:r>
      <w:r w:rsidR="00C578E3" w:rsidRPr="00883957">
        <w:rPr>
          <w:rFonts w:cs="Arial"/>
        </w:rPr>
        <w:t>the tandem trucks</w:t>
      </w:r>
      <w:r w:rsidR="00CD55AA">
        <w:rPr>
          <w:rFonts w:cs="Arial"/>
        </w:rPr>
        <w:t xml:space="preserve"> when offered for sale</w:t>
      </w:r>
      <w:r w:rsidR="007F6C52" w:rsidRPr="00CD55AA">
        <w:rPr>
          <w:rFonts w:cs="Arial"/>
        </w:rPr>
        <w:t>.  I</w:t>
      </w:r>
      <w:r w:rsidRPr="00CD55AA">
        <w:rPr>
          <w:rFonts w:cs="Arial"/>
        </w:rPr>
        <w:t>f no bids are received or the r</w:t>
      </w:r>
      <w:r w:rsidRPr="007F6C52">
        <w:rPr>
          <w:rFonts w:cs="Arial"/>
        </w:rPr>
        <w:t xml:space="preserve">eserved bid is not met, </w:t>
      </w:r>
      <w:r w:rsidR="00C578E3" w:rsidRPr="007F6C52">
        <w:rPr>
          <w:rFonts w:cs="Arial"/>
        </w:rPr>
        <w:t xml:space="preserve">all trucks </w:t>
      </w:r>
      <w:r w:rsidRPr="007F6C52">
        <w:rPr>
          <w:rFonts w:cs="Arial"/>
        </w:rPr>
        <w:t>will proceed to a public auction.</w:t>
      </w:r>
    </w:p>
    <w:p w14:paraId="70313EF2" w14:textId="77777777" w:rsidR="00D332F1" w:rsidRDefault="00D332F1" w:rsidP="00D332F1">
      <w:pPr>
        <w:rPr>
          <w:bCs/>
          <w:iCs/>
        </w:rPr>
      </w:pPr>
      <w:r w:rsidRPr="003D12C1">
        <w:rPr>
          <w:bCs/>
          <w:iCs/>
        </w:rPr>
        <w:t xml:space="preserve">The bids submitted with the results </w:t>
      </w:r>
      <w:r>
        <w:rPr>
          <w:bCs/>
          <w:iCs/>
        </w:rPr>
        <w:t xml:space="preserve">are </w:t>
      </w:r>
      <w:r w:rsidRPr="003D12C1">
        <w:rPr>
          <w:bCs/>
          <w:iCs/>
        </w:rPr>
        <w:t>listed below.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  <w:tblCaption w:val="Bid Results"/>
        <w:tblDescription w:val="A list of each bidder and their submission pricing excluding taxes"/>
      </w:tblPr>
      <w:tblGrid>
        <w:gridCol w:w="710"/>
        <w:gridCol w:w="3970"/>
        <w:gridCol w:w="3330"/>
      </w:tblGrid>
      <w:tr w:rsidR="00C3574F" w:rsidRPr="00885E1E" w14:paraId="731B3A9F" w14:textId="77777777" w:rsidTr="007F6C52">
        <w:trPr>
          <w:trHeight w:val="665"/>
          <w:tblHeader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935AFB8" w14:textId="43F89F0A" w:rsidR="00C3574F" w:rsidRPr="00885E1E" w:rsidRDefault="00C3574F" w:rsidP="007F6C52">
            <w:pPr>
              <w:tabs>
                <w:tab w:val="right" w:pos="720"/>
                <w:tab w:val="left" w:pos="10800"/>
              </w:tabs>
              <w:spacing w:before="60" w:after="60"/>
              <w:jc w:val="center"/>
              <w:rPr>
                <w:rFonts w:cs="Arial"/>
                <w:b/>
              </w:rPr>
            </w:pPr>
            <w:r w:rsidRPr="00885E1E">
              <w:rPr>
                <w:rFonts w:cs="Arial"/>
                <w:b/>
              </w:rPr>
              <w:t>#</w:t>
            </w:r>
          </w:p>
        </w:tc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6BA2CCBB" w14:textId="1B8DD1DE" w:rsidR="00C3574F" w:rsidRPr="00615475" w:rsidRDefault="00C3574F" w:rsidP="007F6C52">
            <w:pPr>
              <w:tabs>
                <w:tab w:val="right" w:pos="720"/>
                <w:tab w:val="left" w:pos="10800"/>
              </w:tabs>
              <w:spacing w:before="60" w:after="60"/>
              <w:jc w:val="center"/>
              <w:rPr>
                <w:rFonts w:cs="Arial"/>
                <w:b/>
              </w:rPr>
            </w:pPr>
            <w:r w:rsidRPr="00885E1E">
              <w:rPr>
                <w:rFonts w:cs="Arial"/>
                <w:b/>
              </w:rPr>
              <w:t>Name of Bidder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5F950630" w14:textId="5278DA1B" w:rsidR="00C3574F" w:rsidRPr="00615475" w:rsidRDefault="00C3574F" w:rsidP="007F6C52">
            <w:pPr>
              <w:tabs>
                <w:tab w:val="right" w:pos="720"/>
                <w:tab w:val="left" w:pos="10800"/>
              </w:tabs>
              <w:spacing w:before="60" w:after="60"/>
              <w:jc w:val="center"/>
              <w:rPr>
                <w:rFonts w:cs="Arial"/>
                <w:b/>
              </w:rPr>
            </w:pPr>
            <w:r w:rsidRPr="00885E1E">
              <w:rPr>
                <w:rFonts w:cs="Arial"/>
                <w:b/>
              </w:rPr>
              <w:t>Bid Amount</w:t>
            </w:r>
            <w:r w:rsidR="006170C7">
              <w:rPr>
                <w:rFonts w:cs="Arial"/>
                <w:b/>
              </w:rPr>
              <w:br/>
            </w:r>
            <w:r w:rsidRPr="00885E1E">
              <w:rPr>
                <w:rFonts w:cs="Arial"/>
                <w:b/>
              </w:rPr>
              <w:t>(excl</w:t>
            </w:r>
            <w:r w:rsidR="006170C7">
              <w:rPr>
                <w:rFonts w:cs="Arial"/>
                <w:b/>
              </w:rPr>
              <w:t xml:space="preserve">uding </w:t>
            </w:r>
            <w:r w:rsidRPr="00885E1E">
              <w:rPr>
                <w:rFonts w:cs="Arial"/>
                <w:b/>
              </w:rPr>
              <w:t>taxes)</w:t>
            </w:r>
          </w:p>
        </w:tc>
      </w:tr>
      <w:tr w:rsidR="00C3574F" w:rsidRPr="00885E1E" w14:paraId="794BA72C" w14:textId="77777777" w:rsidTr="007F6C52">
        <w:trPr>
          <w:trHeight w:val="485"/>
        </w:trPr>
        <w:tc>
          <w:tcPr>
            <w:tcW w:w="710" w:type="dxa"/>
          </w:tcPr>
          <w:p w14:paraId="76A4E822" w14:textId="2E039D75" w:rsidR="00C3574F" w:rsidRPr="00C3574F" w:rsidRDefault="00C3574F" w:rsidP="007F6C52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 w:right="-129"/>
              <w:rPr>
                <w:rFonts w:cs="Arial"/>
              </w:rPr>
            </w:pPr>
          </w:p>
        </w:tc>
        <w:tc>
          <w:tcPr>
            <w:tcW w:w="3970" w:type="dxa"/>
            <w:vAlign w:val="center"/>
          </w:tcPr>
          <w:p w14:paraId="2F6A62A7" w14:textId="735FB7C8" w:rsidR="00C3574F" w:rsidRPr="00615475" w:rsidRDefault="00C3574F" w:rsidP="007F6C52">
            <w:pPr>
              <w:tabs>
                <w:tab w:val="right" w:pos="720"/>
                <w:tab w:val="left" w:pos="1080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6170C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&amp;</w:t>
            </w:r>
            <w:r w:rsidR="006170C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 Complete</w:t>
            </w:r>
            <w:r w:rsidR="006170C7">
              <w:rPr>
                <w:rFonts w:cs="Arial"/>
              </w:rPr>
              <w:t xml:space="preserve"> T</w:t>
            </w:r>
            <w:r>
              <w:rPr>
                <w:rFonts w:cs="Arial"/>
              </w:rPr>
              <w:t xml:space="preserve">ruck </w:t>
            </w:r>
            <w:r w:rsidR="006170C7">
              <w:rPr>
                <w:rFonts w:cs="Arial"/>
              </w:rPr>
              <w:t>C</w:t>
            </w:r>
            <w:r>
              <w:rPr>
                <w:rFonts w:cs="Arial"/>
              </w:rPr>
              <w:t>entre</w:t>
            </w:r>
          </w:p>
        </w:tc>
        <w:tc>
          <w:tcPr>
            <w:tcW w:w="3330" w:type="dxa"/>
            <w:vAlign w:val="center"/>
          </w:tcPr>
          <w:p w14:paraId="1F5775B7" w14:textId="3A885BA8" w:rsidR="00C3574F" w:rsidRPr="00615475" w:rsidRDefault="00C3574F" w:rsidP="007F6C52">
            <w:pPr>
              <w:tabs>
                <w:tab w:val="right" w:pos="720"/>
                <w:tab w:val="left" w:pos="10800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276BE2">
              <w:rPr>
                <w:rFonts w:cs="Arial"/>
              </w:rPr>
              <w:t>645,400.00</w:t>
            </w:r>
          </w:p>
        </w:tc>
      </w:tr>
      <w:tr w:rsidR="00C3574F" w:rsidRPr="00885E1E" w14:paraId="3A61873C" w14:textId="77777777" w:rsidTr="007F6C52">
        <w:trPr>
          <w:trHeight w:val="485"/>
        </w:trPr>
        <w:tc>
          <w:tcPr>
            <w:tcW w:w="710" w:type="dxa"/>
          </w:tcPr>
          <w:p w14:paraId="66593DF1" w14:textId="48433307" w:rsidR="00C3574F" w:rsidRPr="00C3574F" w:rsidRDefault="00C3574F" w:rsidP="007F6C52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3970" w:type="dxa"/>
            <w:vAlign w:val="center"/>
          </w:tcPr>
          <w:p w14:paraId="08AA233E" w14:textId="66CFCD99" w:rsidR="00C3574F" w:rsidRPr="00615475" w:rsidRDefault="00C3574F" w:rsidP="007F6C52">
            <w:pPr>
              <w:tabs>
                <w:tab w:val="right" w:pos="720"/>
                <w:tab w:val="left" w:pos="1080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Lewis Motors Sales Inc.</w:t>
            </w:r>
          </w:p>
        </w:tc>
        <w:tc>
          <w:tcPr>
            <w:tcW w:w="3330" w:type="dxa"/>
            <w:vAlign w:val="center"/>
          </w:tcPr>
          <w:p w14:paraId="0216A917" w14:textId="781A5B27" w:rsidR="00C3574F" w:rsidRPr="00615475" w:rsidRDefault="00276BE2" w:rsidP="007F6C52">
            <w:pPr>
              <w:tabs>
                <w:tab w:val="right" w:pos="720"/>
                <w:tab w:val="left" w:pos="10800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$623,495.64</w:t>
            </w:r>
          </w:p>
        </w:tc>
      </w:tr>
      <w:tr w:rsidR="00C3574F" w:rsidRPr="00885E1E" w14:paraId="463AF450" w14:textId="77777777" w:rsidTr="007F6C52">
        <w:trPr>
          <w:trHeight w:val="485"/>
        </w:trPr>
        <w:tc>
          <w:tcPr>
            <w:tcW w:w="710" w:type="dxa"/>
          </w:tcPr>
          <w:p w14:paraId="4A8DE543" w14:textId="5FCDA262" w:rsidR="00C3574F" w:rsidRPr="00C3574F" w:rsidRDefault="00C3574F" w:rsidP="007F6C52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3970" w:type="dxa"/>
            <w:vAlign w:val="center"/>
          </w:tcPr>
          <w:p w14:paraId="40A10B5D" w14:textId="752BCD8F" w:rsidR="00C3574F" w:rsidRPr="00615475" w:rsidRDefault="00C3574F" w:rsidP="007F6C52">
            <w:pPr>
              <w:tabs>
                <w:tab w:val="right" w:pos="720"/>
                <w:tab w:val="left" w:pos="1080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Team Truck Centres</w:t>
            </w:r>
          </w:p>
        </w:tc>
        <w:tc>
          <w:tcPr>
            <w:tcW w:w="3330" w:type="dxa"/>
            <w:vAlign w:val="center"/>
          </w:tcPr>
          <w:p w14:paraId="7D3DC852" w14:textId="5B1989FE" w:rsidR="00C3574F" w:rsidRPr="00615475" w:rsidRDefault="00276BE2" w:rsidP="007F6C52">
            <w:pPr>
              <w:tabs>
                <w:tab w:val="right" w:pos="720"/>
                <w:tab w:val="left" w:pos="10800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Non-</w:t>
            </w:r>
            <w:r w:rsidR="007F6C52">
              <w:rPr>
                <w:rFonts w:cs="Arial"/>
              </w:rPr>
              <w:t>c</w:t>
            </w:r>
            <w:r>
              <w:rPr>
                <w:rFonts w:cs="Arial"/>
              </w:rPr>
              <w:t>ompliant</w:t>
            </w:r>
          </w:p>
        </w:tc>
      </w:tr>
    </w:tbl>
    <w:p w14:paraId="0284D92D" w14:textId="1FE39C26" w:rsidR="00AC3A8B" w:rsidRPr="00217518" w:rsidRDefault="00CD64E9" w:rsidP="00CD64E9">
      <w:pPr>
        <w:pStyle w:val="Heading2"/>
      </w:pPr>
      <w:r>
        <w:t>Legal and Legislated Requirements</w:t>
      </w:r>
    </w:p>
    <w:p w14:paraId="27FE6959" w14:textId="53805FA5" w:rsidR="007F6C52" w:rsidRDefault="0077581D">
      <w:pPr>
        <w:rPr>
          <w:rFonts w:eastAsiaTheme="majorEastAsia" w:cstheme="majorBidi"/>
          <w:sz w:val="36"/>
          <w:szCs w:val="32"/>
        </w:rPr>
      </w:pPr>
      <w:r>
        <w:rPr>
          <w:rStyle w:val="IntenseEmphasis"/>
          <w:b w:val="0"/>
        </w:rPr>
        <w:t>None.</w:t>
      </w:r>
    </w:p>
    <w:p w14:paraId="0284D92F" w14:textId="7DCFCD28" w:rsidR="00AC3A8B" w:rsidRPr="00B0378D" w:rsidRDefault="00AC3A8B" w:rsidP="006E00FA">
      <w:pPr>
        <w:pStyle w:val="Heading2"/>
        <w:keepNext w:val="0"/>
        <w:widowControl w:val="0"/>
        <w:rPr>
          <w:b/>
        </w:rPr>
      </w:pPr>
      <w:r w:rsidRPr="00B0378D">
        <w:t>Financial</w:t>
      </w:r>
      <w:r w:rsidR="00CD64E9">
        <w:t xml:space="preserve"> and Resource Implications</w:t>
      </w:r>
    </w:p>
    <w:p w14:paraId="14189D23" w14:textId="48265AF6" w:rsidR="000237E8" w:rsidRPr="00883957" w:rsidRDefault="00962E3E" w:rsidP="00D332F1">
      <w:pPr>
        <w:rPr>
          <w:bCs/>
        </w:rPr>
      </w:pPr>
      <w:bookmarkStart w:id="1" w:name="_Hlk27492407"/>
      <w:r>
        <w:rPr>
          <w:bCs/>
        </w:rPr>
        <w:t xml:space="preserve">In 2019, the total expenditure amount per tandem was $267,628.80 (including the unrecoverable portion of HST) compared to $317,234.58 per tandem in 2020, an increase of $49,605.78 or 18.54% per tandem.  </w:t>
      </w:r>
      <w:r w:rsidR="000237E8" w:rsidRPr="00883957">
        <w:rPr>
          <w:bCs/>
        </w:rPr>
        <w:t xml:space="preserve">The increase in the total price is attributed to </w:t>
      </w:r>
      <w:r w:rsidR="007D7D83" w:rsidRPr="00883957">
        <w:rPr>
          <w:bCs/>
        </w:rPr>
        <w:t>the trucks</w:t>
      </w:r>
      <w:r w:rsidR="004A23A4">
        <w:rPr>
          <w:bCs/>
        </w:rPr>
        <w:t xml:space="preserve"> being</w:t>
      </w:r>
      <w:r w:rsidR="007D7D83" w:rsidRPr="00883957">
        <w:rPr>
          <w:bCs/>
        </w:rPr>
        <w:t xml:space="preserve"> </w:t>
      </w:r>
      <w:r w:rsidR="004A23A4">
        <w:rPr>
          <w:bCs/>
        </w:rPr>
        <w:t>imported</w:t>
      </w:r>
      <w:r w:rsidR="007D7D83" w:rsidRPr="00883957">
        <w:rPr>
          <w:bCs/>
        </w:rPr>
        <w:t xml:space="preserve"> </w:t>
      </w:r>
      <w:r w:rsidR="004A23A4">
        <w:rPr>
          <w:bCs/>
        </w:rPr>
        <w:t>from the</w:t>
      </w:r>
      <w:r w:rsidR="007D7D83" w:rsidRPr="00883957">
        <w:rPr>
          <w:bCs/>
        </w:rPr>
        <w:t xml:space="preserve"> United States</w:t>
      </w:r>
      <w:r w:rsidR="00747104" w:rsidRPr="00883957">
        <w:rPr>
          <w:bCs/>
        </w:rPr>
        <w:t>.</w:t>
      </w:r>
    </w:p>
    <w:p w14:paraId="5BCDE5EA" w14:textId="1CCB6308" w:rsidR="00D332F1" w:rsidRDefault="00D332F1" w:rsidP="00D332F1">
      <w:pPr>
        <w:rPr>
          <w:bCs/>
        </w:rPr>
      </w:pPr>
      <w:r w:rsidRPr="00143E92">
        <w:rPr>
          <w:bCs/>
        </w:rPr>
        <w:lastRenderedPageBreak/>
        <w:t>The total tendered expenditure amount, including the unrecoverable portion of HST is $</w:t>
      </w:r>
      <w:r w:rsidR="00276BE2" w:rsidRPr="00143E92">
        <w:rPr>
          <w:bCs/>
        </w:rPr>
        <w:t>634,469.16</w:t>
      </w:r>
      <w:r w:rsidR="00522830" w:rsidRPr="00143E92">
        <w:rPr>
          <w:bCs/>
        </w:rPr>
        <w:t>.</w:t>
      </w:r>
      <w:r w:rsidR="007F6C52" w:rsidRPr="00143E92">
        <w:rPr>
          <w:bCs/>
        </w:rPr>
        <w:t xml:space="preserve"> </w:t>
      </w:r>
      <w:r w:rsidR="00883957">
        <w:rPr>
          <w:bCs/>
        </w:rPr>
        <w:t xml:space="preserve"> </w:t>
      </w:r>
      <w:r w:rsidR="00EF05BB" w:rsidRPr="00143E92">
        <w:rPr>
          <w:bCs/>
        </w:rPr>
        <w:t>The 2020 budget will reflect the actual amount of $634,469.16</w:t>
      </w:r>
      <w:r w:rsidR="007C5FFF" w:rsidRPr="00143E92">
        <w:rPr>
          <w:bCs/>
        </w:rPr>
        <w:t xml:space="preserve"> ($</w:t>
      </w:r>
      <w:r w:rsidR="00143E92" w:rsidRPr="00143E92">
        <w:rPr>
          <w:bCs/>
        </w:rPr>
        <w:t>317,234.58 per tandem truck)</w:t>
      </w:r>
      <w:r w:rsidR="00EF05BB" w:rsidRPr="00143E92">
        <w:rPr>
          <w:bCs/>
        </w:rPr>
        <w:t>.</w:t>
      </w:r>
      <w:r w:rsidR="007F6C52" w:rsidRPr="00143E92">
        <w:rPr>
          <w:bCs/>
        </w:rPr>
        <w:t xml:space="preserve"> </w:t>
      </w:r>
      <w:r w:rsidR="00883957">
        <w:rPr>
          <w:bCs/>
        </w:rPr>
        <w:t xml:space="preserve"> </w:t>
      </w:r>
      <w:r w:rsidR="0012773A" w:rsidRPr="00143E92">
        <w:rPr>
          <w:bCs/>
        </w:rPr>
        <w:t xml:space="preserve">Equipment purchases are funded by the </w:t>
      </w:r>
      <w:r w:rsidR="006170C7" w:rsidRPr="00143E92">
        <w:rPr>
          <w:bCs/>
        </w:rPr>
        <w:t>S</w:t>
      </w:r>
      <w:r w:rsidR="0012773A" w:rsidRPr="00143E92">
        <w:rPr>
          <w:bCs/>
        </w:rPr>
        <w:t xml:space="preserve">ale of </w:t>
      </w:r>
      <w:r w:rsidR="006170C7" w:rsidRPr="00143E92">
        <w:rPr>
          <w:bCs/>
        </w:rPr>
        <w:t>E</w:t>
      </w:r>
      <w:r w:rsidR="0012773A" w:rsidRPr="00143E92">
        <w:rPr>
          <w:bCs/>
        </w:rPr>
        <w:t>quipment and the Equipment Replacement Reserve Fund.</w:t>
      </w:r>
      <w:r w:rsidR="00F30DB1">
        <w:rPr>
          <w:bCs/>
        </w:rPr>
        <w:t xml:space="preserve"> </w:t>
      </w:r>
      <w:r w:rsidR="00883957">
        <w:rPr>
          <w:bCs/>
        </w:rPr>
        <w:t xml:space="preserve"> </w:t>
      </w:r>
      <w:r w:rsidR="00F30DB1">
        <w:rPr>
          <w:bCs/>
        </w:rPr>
        <w:t>The Equipment Replacement Reserve Fund is evaluated annually and adjustments are made to accommodate price fluctuations.</w:t>
      </w:r>
    </w:p>
    <w:bookmarkEnd w:id="1"/>
    <w:p w14:paraId="0284D931" w14:textId="420C59F3" w:rsidR="00AC3A8B" w:rsidRPr="00580AAD" w:rsidRDefault="002E32B0" w:rsidP="006E00FA">
      <w:pPr>
        <w:pStyle w:val="Heading2"/>
        <w:keepNext w:val="0"/>
        <w:widowControl w:val="0"/>
      </w:pPr>
      <w:r>
        <w:t>Relevant Consultation</w:t>
      </w:r>
    </w:p>
    <w:p w14:paraId="25AC375C" w14:textId="2E63EC44" w:rsidR="00522830" w:rsidRDefault="00074F10" w:rsidP="007F6C52">
      <w:pPr>
        <w:widowControl w:val="0"/>
        <w:ind w:left="720" w:hanging="720"/>
      </w:pPr>
      <w:sdt>
        <w:sdtPr>
          <w:rPr>
            <w:rFonts w:cs="Arial"/>
          </w:rPr>
          <w:id w:val="-11311687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5475" w:rsidRPr="007F6C52">
            <w:rPr>
              <w:rFonts w:ascii="Segoe UI Symbol" w:hAnsi="Segoe UI Symbol" w:cs="Segoe UI Symbol"/>
            </w:rPr>
            <w:t>☒</w:t>
          </w:r>
        </w:sdtContent>
      </w:sdt>
      <w:r w:rsidR="007F6C52" w:rsidRPr="007F6C52">
        <w:rPr>
          <w:rFonts w:cs="Arial"/>
        </w:rPr>
        <w:tab/>
      </w:r>
      <w:r w:rsidR="0077581D" w:rsidRPr="007F6C52">
        <w:rPr>
          <w:rFonts w:cs="Arial"/>
        </w:rPr>
        <w:t>Internal</w:t>
      </w:r>
      <w:r w:rsidR="00C14CD6">
        <w:br/>
        <w:t>Finance Department</w:t>
      </w:r>
    </w:p>
    <w:p w14:paraId="343D15CF" w14:textId="21EC2858" w:rsidR="002E32B0" w:rsidRDefault="00074F10" w:rsidP="006E00FA">
      <w:pPr>
        <w:widowControl w:val="0"/>
      </w:pPr>
      <w:sdt>
        <w:sdtPr>
          <w:id w:val="-65044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2B0">
            <w:rPr>
              <w:rFonts w:ascii="MS Gothic" w:eastAsia="MS Gothic" w:hAnsi="MS Gothic" w:hint="eastAsia"/>
            </w:rPr>
            <w:t>☐</w:t>
          </w:r>
        </w:sdtContent>
      </w:sdt>
      <w:r w:rsidR="007F6C52">
        <w:tab/>
      </w:r>
      <w:r w:rsidR="0077581D">
        <w:t>External</w:t>
      </w:r>
    </w:p>
    <w:p w14:paraId="6D7EA5A2" w14:textId="239F1A51" w:rsidR="001272D9" w:rsidRDefault="002E32B0" w:rsidP="002E32B0">
      <w:pPr>
        <w:pStyle w:val="Heading3"/>
      </w:pPr>
      <w:r>
        <w:t>Appendices and Attachments</w:t>
      </w:r>
    </w:p>
    <w:p w14:paraId="59E76E5C" w14:textId="41959A2C" w:rsidR="00276BE2" w:rsidRPr="00225BC6" w:rsidRDefault="00074F10" w:rsidP="00225BC6">
      <w:hyperlink r:id="rId9" w:history="1">
        <w:r w:rsidR="00276BE2">
          <w:rPr>
            <w:rStyle w:val="Hyperlink"/>
          </w:rPr>
          <w:t>TR-CW-19-19 Capital Equipment Purchase Prior to Budget Approval</w:t>
        </w:r>
      </w:hyperlink>
    </w:p>
    <w:sectPr w:rsidR="00276BE2" w:rsidRPr="00225BC6" w:rsidSect="007E47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AC687" w14:textId="77777777" w:rsidR="00DF20C2" w:rsidRDefault="00DF20C2" w:rsidP="00883D8D">
      <w:pPr>
        <w:spacing w:after="0" w:line="240" w:lineRule="auto"/>
      </w:pPr>
      <w:r>
        <w:separator/>
      </w:r>
    </w:p>
    <w:p w14:paraId="0D5F2E92" w14:textId="77777777" w:rsidR="00DF20C2" w:rsidRDefault="00DF20C2"/>
  </w:endnote>
  <w:endnote w:type="continuationSeparator" w:id="0">
    <w:p w14:paraId="2D87D094" w14:textId="77777777" w:rsidR="00DF20C2" w:rsidRDefault="00DF20C2" w:rsidP="00883D8D">
      <w:pPr>
        <w:spacing w:after="0" w:line="240" w:lineRule="auto"/>
      </w:pPr>
      <w:r>
        <w:continuationSeparator/>
      </w:r>
    </w:p>
    <w:p w14:paraId="4E59803A" w14:textId="77777777" w:rsidR="00DF20C2" w:rsidRDefault="00DF20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Tw Cen MT Condensed Extra Bol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EDCE3" w14:textId="77777777" w:rsidR="006B264B" w:rsidRDefault="006B2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4D941" w14:textId="4A7B1A64" w:rsidR="007E4720" w:rsidRPr="007E4720" w:rsidRDefault="00615475" w:rsidP="007E4720">
    <w:pPr>
      <w:pStyle w:val="Footer"/>
    </w:pPr>
    <w:r>
      <w:t>TR-CW</w:t>
    </w:r>
    <w:r w:rsidR="00567AB5">
      <w:t>-</w:t>
    </w:r>
    <w:r>
      <w:t>0</w:t>
    </w:r>
    <w:r w:rsidR="00276BE2">
      <w:t>3</w:t>
    </w:r>
    <w:r>
      <w:t>-</w:t>
    </w:r>
    <w:r w:rsidR="00276BE2">
      <w:t>20</w:t>
    </w:r>
    <w:r w:rsidR="00567AB5">
      <w:ptab w:relativeTo="margin" w:alignment="center" w:leader="none"/>
    </w:r>
    <w:r w:rsidR="00567AB5">
      <w:ptab w:relativeTo="margin" w:alignment="right" w:leader="none"/>
    </w:r>
    <w:r>
      <w:t xml:space="preserve">January </w:t>
    </w:r>
    <w:r w:rsidR="00276BE2">
      <w:t>9</w:t>
    </w:r>
    <w:r>
      <w:t>, 20</w:t>
    </w:r>
    <w:r w:rsidR="00276BE2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EC9E6" w14:textId="77777777" w:rsidR="006B264B" w:rsidRDefault="006B2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C57A0" w14:textId="77777777" w:rsidR="00DF20C2" w:rsidRDefault="00DF20C2" w:rsidP="00883D8D">
      <w:pPr>
        <w:spacing w:after="0" w:line="240" w:lineRule="auto"/>
      </w:pPr>
      <w:r>
        <w:separator/>
      </w:r>
    </w:p>
    <w:p w14:paraId="4A3A9C38" w14:textId="77777777" w:rsidR="00DF20C2" w:rsidRDefault="00DF20C2"/>
  </w:footnote>
  <w:footnote w:type="continuationSeparator" w:id="0">
    <w:p w14:paraId="0D0FBDA4" w14:textId="77777777" w:rsidR="00DF20C2" w:rsidRDefault="00DF20C2" w:rsidP="00883D8D">
      <w:pPr>
        <w:spacing w:after="0" w:line="240" w:lineRule="auto"/>
      </w:pPr>
      <w:r>
        <w:continuationSeparator/>
      </w:r>
    </w:p>
    <w:p w14:paraId="2FEB02CA" w14:textId="77777777" w:rsidR="00DF20C2" w:rsidRDefault="00DF20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1AB1C" w14:textId="77777777" w:rsidR="006B264B" w:rsidRDefault="006B2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48257" w14:textId="1F8ACFB7" w:rsidR="006B264B" w:rsidRDefault="006B26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BAB3" w14:textId="77777777" w:rsidR="006B264B" w:rsidRDefault="006B2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579"/>
    <w:multiLevelType w:val="hybridMultilevel"/>
    <w:tmpl w:val="276CA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55ED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linkStyl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237E8"/>
    <w:rsid w:val="000347A2"/>
    <w:rsid w:val="00047A0A"/>
    <w:rsid w:val="00074F10"/>
    <w:rsid w:val="00081FCF"/>
    <w:rsid w:val="000B5253"/>
    <w:rsid w:val="000B7C11"/>
    <w:rsid w:val="00113FCB"/>
    <w:rsid w:val="001272D9"/>
    <w:rsid w:val="0012773A"/>
    <w:rsid w:val="00143E92"/>
    <w:rsid w:val="001919C4"/>
    <w:rsid w:val="001F1D7C"/>
    <w:rsid w:val="00225BC6"/>
    <w:rsid w:val="00247CA8"/>
    <w:rsid w:val="0027247E"/>
    <w:rsid w:val="00276BE2"/>
    <w:rsid w:val="00286FBD"/>
    <w:rsid w:val="002915BC"/>
    <w:rsid w:val="0029466F"/>
    <w:rsid w:val="002C6064"/>
    <w:rsid w:val="002E05AC"/>
    <w:rsid w:val="002E32B0"/>
    <w:rsid w:val="003062A4"/>
    <w:rsid w:val="00312D86"/>
    <w:rsid w:val="0032700D"/>
    <w:rsid w:val="00376E79"/>
    <w:rsid w:val="004216D5"/>
    <w:rsid w:val="00425A74"/>
    <w:rsid w:val="00446A72"/>
    <w:rsid w:val="00457F2B"/>
    <w:rsid w:val="00464176"/>
    <w:rsid w:val="004942B7"/>
    <w:rsid w:val="004A23A4"/>
    <w:rsid w:val="004F083D"/>
    <w:rsid w:val="00516E8C"/>
    <w:rsid w:val="00522830"/>
    <w:rsid w:val="00567AB5"/>
    <w:rsid w:val="0057322F"/>
    <w:rsid w:val="005A360A"/>
    <w:rsid w:val="005B3961"/>
    <w:rsid w:val="005E54ED"/>
    <w:rsid w:val="00615475"/>
    <w:rsid w:val="006170C7"/>
    <w:rsid w:val="006364B3"/>
    <w:rsid w:val="00644370"/>
    <w:rsid w:val="006522E9"/>
    <w:rsid w:val="006563A9"/>
    <w:rsid w:val="0068510A"/>
    <w:rsid w:val="00685CB3"/>
    <w:rsid w:val="006B264B"/>
    <w:rsid w:val="006B4C34"/>
    <w:rsid w:val="006B6ACA"/>
    <w:rsid w:val="006C0F24"/>
    <w:rsid w:val="006C29A1"/>
    <w:rsid w:val="006E00FA"/>
    <w:rsid w:val="00747104"/>
    <w:rsid w:val="0077581D"/>
    <w:rsid w:val="007C5FFF"/>
    <w:rsid w:val="007D7D83"/>
    <w:rsid w:val="007E41F5"/>
    <w:rsid w:val="007E4720"/>
    <w:rsid w:val="007F6C52"/>
    <w:rsid w:val="00816DA7"/>
    <w:rsid w:val="00836315"/>
    <w:rsid w:val="00883957"/>
    <w:rsid w:val="00883D8D"/>
    <w:rsid w:val="00895616"/>
    <w:rsid w:val="00896295"/>
    <w:rsid w:val="008D60C9"/>
    <w:rsid w:val="00934912"/>
    <w:rsid w:val="00953DFC"/>
    <w:rsid w:val="00962E3E"/>
    <w:rsid w:val="00992841"/>
    <w:rsid w:val="009A31DB"/>
    <w:rsid w:val="00A26CAD"/>
    <w:rsid w:val="00A52D13"/>
    <w:rsid w:val="00A607A3"/>
    <w:rsid w:val="00A63BE0"/>
    <w:rsid w:val="00A63DD6"/>
    <w:rsid w:val="00A85D36"/>
    <w:rsid w:val="00AA5E09"/>
    <w:rsid w:val="00AB2197"/>
    <w:rsid w:val="00AC3A8B"/>
    <w:rsid w:val="00B12CC6"/>
    <w:rsid w:val="00B25569"/>
    <w:rsid w:val="00B64986"/>
    <w:rsid w:val="00B7545F"/>
    <w:rsid w:val="00B97DD0"/>
    <w:rsid w:val="00BB50B4"/>
    <w:rsid w:val="00BC0C64"/>
    <w:rsid w:val="00C14CD6"/>
    <w:rsid w:val="00C30368"/>
    <w:rsid w:val="00C3574F"/>
    <w:rsid w:val="00C578E3"/>
    <w:rsid w:val="00C64429"/>
    <w:rsid w:val="00C70DA7"/>
    <w:rsid w:val="00CD55AA"/>
    <w:rsid w:val="00CD64E9"/>
    <w:rsid w:val="00CE439D"/>
    <w:rsid w:val="00CF0CF7"/>
    <w:rsid w:val="00CF4AA5"/>
    <w:rsid w:val="00D254D8"/>
    <w:rsid w:val="00D332F1"/>
    <w:rsid w:val="00D422C9"/>
    <w:rsid w:val="00DC1FF0"/>
    <w:rsid w:val="00DF20C2"/>
    <w:rsid w:val="00E1676A"/>
    <w:rsid w:val="00E32F4D"/>
    <w:rsid w:val="00EF05BB"/>
    <w:rsid w:val="00F30DB1"/>
    <w:rsid w:val="00F97CF2"/>
    <w:rsid w:val="00FB203E"/>
    <w:rsid w:val="00FB7D9B"/>
    <w:rsid w:val="00FC1182"/>
    <w:rsid w:val="00FC5561"/>
    <w:rsid w:val="00FE7170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84D922"/>
  <w15:docId w15:val="{8AC5B9D6-E2A7-42E8-B09C-29AA248C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4F1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F10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F10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074F10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4F10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4F10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4F10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4F10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74F10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74F10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074F1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74F10"/>
  </w:style>
  <w:style w:type="character" w:customStyle="1" w:styleId="Heading1Char">
    <w:name w:val="Heading 1 Char"/>
    <w:basedOn w:val="DefaultParagraphFont"/>
    <w:link w:val="Heading1"/>
    <w:uiPriority w:val="9"/>
    <w:rsid w:val="00074F10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74F10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74F10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74F10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74F10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74F10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74F10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74F10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74F10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074F10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074F10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4F10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4F10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74F10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074F10"/>
    <w:rPr>
      <w:rFonts w:ascii="Arial" w:hAnsi="Arial"/>
      <w:i/>
      <w:iCs/>
    </w:rPr>
  </w:style>
  <w:style w:type="paragraph" w:styleId="NoSpacing">
    <w:name w:val="No Spacing"/>
    <w:uiPriority w:val="1"/>
    <w:qFormat/>
    <w:rsid w:val="00074F10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74F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4F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4F10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4F10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4F10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74F10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74F10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074F10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074F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A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A2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03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074F1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4F10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074F10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074F10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074F10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074F10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074F10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074F10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074F10"/>
    <w:rPr>
      <w:rFonts w:ascii="Arial" w:hAnsi="Arial"/>
      <w:b/>
      <w:color w:val="FFFFFF" w:themeColor="background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76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6498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2796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1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0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8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13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64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08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748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79491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6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6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92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75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70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docs.grey.ca/share/page/site/grey-county/document-details?nodeRef=workspace://SpacesStore/865894f6-7bb3-4196-92fe-d9245b9e34b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GC_112572494</documentNumber>
    <Municipality xmlns="e6cd7bd4-3f3e-4495-b8c9-139289cd76e6" xsi:nil="true"/>
    <gcNumber xmlns="e6cd7bd4-3f3e-4495-b8c9-139289cd76e6" xsi:nil="true"/>
    <recordCategory xmlns="e6cd7bd4-3f3e-4495-b8c9-139289cd76e6">C11</recordCategory>
    <isPublic xmlns="e6cd7bd4-3f3e-4495-b8c9-139289cd76e6">true</isPublic>
    <sharedId xmlns="e6cd7bd4-3f3e-4495-b8c9-139289cd76e6" xsi:nil="true"/>
    <committee xmlns="e6cd7bd4-3f3e-4495-b8c9-139289cd76e6">Committee of the Whole</committee>
    <meetingId xmlns="e6cd7bd4-3f3e-4495-b8c9-139289cd76e6">[2020-01-09 Committee of the Whole [8453]]</meetingId>
    <capitalProjectPriority xmlns="e6cd7bd4-3f3e-4495-b8c9-139289cd76e6" xsi:nil="true"/>
    <policyApprovalDate xmlns="e6cd7bd4-3f3e-4495-b8c9-139289cd76e6" xsi:nil="true"/>
    <NodeRef xmlns="e6cd7bd4-3f3e-4495-b8c9-139289cd76e6">a67f4034-e396-4e4f-baef-1a884c715e6c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F2904C4A-0603-4308-A64A-C1365FBFBD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427AB4-5498-4682-9F04-C1063C344357}"/>
</file>

<file path=customXml/itemProps3.xml><?xml version="1.0" encoding="utf-8"?>
<ds:datastoreItem xmlns:ds="http://schemas.openxmlformats.org/officeDocument/2006/customXml" ds:itemID="{0AD8A257-586F-491D-A45A-18E68A6611DC}"/>
</file>

<file path=customXml/itemProps4.xml><?xml version="1.0" encoding="utf-8"?>
<ds:datastoreItem xmlns:ds="http://schemas.openxmlformats.org/officeDocument/2006/customXml" ds:itemID="{E7D738F9-F0A1-4B16-97AD-9AE8C6D74B44}"/>
</file>

<file path=customXml/itemProps5.xml><?xml version="1.0" encoding="utf-8"?>
<ds:datastoreItem xmlns:ds="http://schemas.openxmlformats.org/officeDocument/2006/customXml" ds:itemID="{B535215B-DD87-41FF-A0D2-3AD0CD1E5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19</cp:revision>
  <cp:lastPrinted>2018-01-12T14:26:00Z</cp:lastPrinted>
  <dcterms:created xsi:type="dcterms:W3CDTF">2019-12-17T14:56:00Z</dcterms:created>
  <dcterms:modified xsi:type="dcterms:W3CDTF">2020-03-19T17:51:00Z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