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46767A">
        <w:t>CCR-PCD-01-16</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6853FB">
        <w:t>Chair and Members of the Planning and Community Development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6853FB">
        <w:t>Sharon Vokes, Clerk</w:t>
      </w:r>
      <w:r w:rsidR="001A19F4">
        <w:t>,</w:t>
      </w:r>
      <w:r w:rsidR="006853FB">
        <w:t xml:space="preserve"> Randy Scherzer, Director of Planning &amp; Development</w:t>
      </w:r>
      <w:r w:rsidR="001A19F4">
        <w:t xml:space="preserve"> and Geoff Hogan, Director of Information Technology</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6853FB">
        <w:t>December 1</w:t>
      </w:r>
      <w:r w:rsidR="0046767A">
        <w:t>0, 2015</w:t>
      </w:r>
      <w:r w:rsidR="006853FB">
        <w:tab/>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EA2942">
        <w:rPr>
          <w:rStyle w:val="Strong"/>
        </w:rPr>
        <w:t>Treatment of Year End Budget Surplus</w:t>
      </w:r>
      <w:proofErr w:type="gramStart"/>
      <w:r w:rsidR="00EA2942">
        <w:rPr>
          <w:rStyle w:val="Strong"/>
        </w:rPr>
        <w:t>/(</w:t>
      </w:r>
      <w:proofErr w:type="gramEnd"/>
      <w:r w:rsidR="00EA2942">
        <w:rPr>
          <w:rStyle w:val="Strong"/>
        </w:rPr>
        <w:t>Deficit)</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727C68">
        <w:t xml:space="preserve">Recommendation adopted by Committee as presented per Resolution PCD19-16; Endorsed by County Council January 5, 2016 per Resolution CC12-16; </w:t>
      </w:r>
      <w:bookmarkStart w:id="0" w:name="_GoBack"/>
      <w:bookmarkEnd w:id="0"/>
    </w:p>
    <w:p w:rsidR="00AC3A8B" w:rsidRPr="00FB686F" w:rsidRDefault="00AC3A8B" w:rsidP="00AC3A8B">
      <w:pPr>
        <w:pStyle w:val="Heading2"/>
      </w:pPr>
      <w:r w:rsidRPr="00FB686F">
        <w:t>Recommendation(s)</w:t>
      </w:r>
    </w:p>
    <w:p w:rsidR="00EA2942" w:rsidRDefault="00EA2942" w:rsidP="009F3E2D">
      <w:pPr>
        <w:spacing w:line="240" w:lineRule="auto"/>
        <w:rPr>
          <w:b/>
        </w:rPr>
      </w:pPr>
      <w:r>
        <w:rPr>
          <w:b/>
        </w:rPr>
        <w:t>THAT Report C</w:t>
      </w:r>
      <w:r w:rsidR="0046767A">
        <w:rPr>
          <w:b/>
        </w:rPr>
        <w:t>CR-PCD-01-16</w:t>
      </w:r>
      <w:r>
        <w:rPr>
          <w:b/>
        </w:rPr>
        <w:t xml:space="preserve"> </w:t>
      </w:r>
      <w:r w:rsidR="00494BF8">
        <w:rPr>
          <w:b/>
        </w:rPr>
        <w:t>regarding</w:t>
      </w:r>
      <w:r w:rsidR="0046767A">
        <w:rPr>
          <w:b/>
        </w:rPr>
        <w:t xml:space="preserve"> the</w:t>
      </w:r>
      <w:r>
        <w:rPr>
          <w:b/>
        </w:rPr>
        <w:t xml:space="preserve"> treatment of year-end surplus</w:t>
      </w:r>
      <w:r w:rsidR="001A19F4">
        <w:rPr>
          <w:b/>
        </w:rPr>
        <w:t xml:space="preserve"> </w:t>
      </w:r>
      <w:r>
        <w:rPr>
          <w:b/>
        </w:rPr>
        <w:t>/</w:t>
      </w:r>
      <w:r w:rsidR="001A19F4">
        <w:rPr>
          <w:b/>
        </w:rPr>
        <w:t xml:space="preserve"> </w:t>
      </w:r>
      <w:r>
        <w:rPr>
          <w:b/>
        </w:rPr>
        <w:t xml:space="preserve">(deficit) </w:t>
      </w:r>
      <w:proofErr w:type="gramStart"/>
      <w:r>
        <w:rPr>
          <w:b/>
        </w:rPr>
        <w:t>be</w:t>
      </w:r>
      <w:proofErr w:type="gramEnd"/>
      <w:r>
        <w:rPr>
          <w:b/>
        </w:rPr>
        <w:t xml:space="preserve"> received;</w:t>
      </w:r>
    </w:p>
    <w:p w:rsidR="007D3D47" w:rsidRPr="00675461" w:rsidRDefault="007D3D47" w:rsidP="007D3D47">
      <w:pPr>
        <w:spacing w:line="240" w:lineRule="auto"/>
        <w:rPr>
          <w:b/>
        </w:rPr>
      </w:pPr>
      <w:r w:rsidRPr="00675461">
        <w:rPr>
          <w:b/>
        </w:rPr>
        <w:t xml:space="preserve">AND THAT the surplus from the Planning Operating and Agriculture budgets </w:t>
      </w:r>
      <w:proofErr w:type="gramStart"/>
      <w:r w:rsidRPr="00675461">
        <w:rPr>
          <w:b/>
        </w:rPr>
        <w:t>be</w:t>
      </w:r>
      <w:proofErr w:type="gramEnd"/>
      <w:r w:rsidRPr="00675461">
        <w:rPr>
          <w:b/>
        </w:rPr>
        <w:t xml:space="preserve"> allocated to the Planning Studies Reserve;</w:t>
      </w:r>
    </w:p>
    <w:p w:rsidR="00B707EE" w:rsidRDefault="00B707EE" w:rsidP="009F3E2D">
      <w:pPr>
        <w:spacing w:line="240" w:lineRule="auto"/>
        <w:rPr>
          <w:b/>
        </w:rPr>
      </w:pPr>
      <w:r w:rsidRPr="00675461">
        <w:rPr>
          <w:b/>
        </w:rPr>
        <w:t xml:space="preserve">AND </w:t>
      </w:r>
      <w:r w:rsidR="007D3D47">
        <w:rPr>
          <w:b/>
        </w:rPr>
        <w:t xml:space="preserve">FURTHER </w:t>
      </w:r>
      <w:r w:rsidRPr="00675461">
        <w:rPr>
          <w:b/>
        </w:rPr>
        <w:t>THAT the surplus in the Forestry and Trails budgets be allocated by transferring $</w:t>
      </w:r>
      <w:r w:rsidR="0030251E" w:rsidRPr="00675461">
        <w:rPr>
          <w:b/>
        </w:rPr>
        <w:t>30</w:t>
      </w:r>
      <w:r w:rsidRPr="00675461">
        <w:rPr>
          <w:b/>
        </w:rPr>
        <w:t xml:space="preserve">,000 to the Forestry </w:t>
      </w:r>
      <w:r w:rsidR="0030251E" w:rsidRPr="00675461">
        <w:rPr>
          <w:b/>
        </w:rPr>
        <w:t xml:space="preserve">Trails </w:t>
      </w:r>
      <w:r w:rsidRPr="00675461">
        <w:rPr>
          <w:b/>
        </w:rPr>
        <w:t xml:space="preserve">Reserve and the remaining amount being allocated to </w:t>
      </w:r>
      <w:r w:rsidR="00675461" w:rsidRPr="00675461">
        <w:rPr>
          <w:b/>
        </w:rPr>
        <w:t xml:space="preserve">the One Time Funding reserve for future </w:t>
      </w:r>
      <w:r w:rsidR="00675461">
        <w:rPr>
          <w:b/>
        </w:rPr>
        <w:t xml:space="preserve">corporate </w:t>
      </w:r>
      <w:r w:rsidR="00675461" w:rsidRPr="00675461">
        <w:rPr>
          <w:b/>
        </w:rPr>
        <w:t>needs</w:t>
      </w:r>
      <w:r w:rsidRPr="00675461">
        <w:rPr>
          <w:b/>
        </w:rPr>
        <w:t>;</w:t>
      </w:r>
    </w:p>
    <w:p w:rsidR="00CE59D7" w:rsidRDefault="00CE59D7" w:rsidP="009F3E2D">
      <w:pPr>
        <w:spacing w:line="240" w:lineRule="auto"/>
        <w:rPr>
          <w:b/>
        </w:rPr>
      </w:pPr>
      <w:r>
        <w:rPr>
          <w:b/>
        </w:rPr>
        <w:t>AND FURTHER THAT the donation of $2,000 to be dedicated to the Archives be transferred to reserve for the purposes of the Archives;</w:t>
      </w:r>
    </w:p>
    <w:p w:rsidR="00E85762" w:rsidRDefault="00E85762" w:rsidP="009F3E2D">
      <w:pPr>
        <w:spacing w:line="240" w:lineRule="auto"/>
        <w:rPr>
          <w:b/>
        </w:rPr>
      </w:pPr>
      <w:r>
        <w:rPr>
          <w:b/>
        </w:rPr>
        <w:t xml:space="preserve">AND </w:t>
      </w:r>
      <w:r w:rsidR="007D3D47">
        <w:rPr>
          <w:b/>
        </w:rPr>
        <w:t xml:space="preserve">FURTHER </w:t>
      </w:r>
      <w:r>
        <w:rPr>
          <w:b/>
        </w:rPr>
        <w:t xml:space="preserve">THAT </w:t>
      </w:r>
      <w:r w:rsidR="00F872C3">
        <w:rPr>
          <w:b/>
        </w:rPr>
        <w:t>the surplus in the Grey Roots’ operating and capital budget</w:t>
      </w:r>
      <w:r w:rsidR="002A2712">
        <w:rPr>
          <w:b/>
        </w:rPr>
        <w:t>s</w:t>
      </w:r>
      <w:r w:rsidR="00F872C3">
        <w:rPr>
          <w:b/>
        </w:rPr>
        <w:t xml:space="preserve"> be allocated by transferring </w:t>
      </w:r>
      <w:r>
        <w:rPr>
          <w:b/>
        </w:rPr>
        <w:t>$4</w:t>
      </w:r>
      <w:r w:rsidR="001C5E5C">
        <w:rPr>
          <w:b/>
        </w:rPr>
        <w:t>8,6</w:t>
      </w:r>
      <w:r>
        <w:rPr>
          <w:b/>
        </w:rPr>
        <w:t xml:space="preserve">00 </w:t>
      </w:r>
      <w:r w:rsidR="00F872C3">
        <w:rPr>
          <w:b/>
        </w:rPr>
        <w:t>to the</w:t>
      </w:r>
      <w:r>
        <w:rPr>
          <w:b/>
        </w:rPr>
        <w:t xml:space="preserve"> Grey County Gallery </w:t>
      </w:r>
      <w:r w:rsidR="00F872C3">
        <w:rPr>
          <w:b/>
        </w:rPr>
        <w:t>Reserve, $16,500 to reserve for the digital media/website redevelopment and the remain</w:t>
      </w:r>
      <w:r w:rsidR="002A2712">
        <w:rPr>
          <w:b/>
        </w:rPr>
        <w:t>ing amount</w:t>
      </w:r>
      <w:r w:rsidR="001C5E5C">
        <w:rPr>
          <w:b/>
        </w:rPr>
        <w:t xml:space="preserve"> </w:t>
      </w:r>
      <w:r w:rsidR="00F872C3">
        <w:rPr>
          <w:b/>
        </w:rPr>
        <w:t>to the Grey Roots’ General Reserve</w:t>
      </w:r>
      <w:r>
        <w:rPr>
          <w:b/>
        </w:rPr>
        <w:t>;</w:t>
      </w:r>
    </w:p>
    <w:p w:rsidR="001A19F4" w:rsidRDefault="001A19F4" w:rsidP="009F3E2D">
      <w:pPr>
        <w:spacing w:line="240" w:lineRule="auto"/>
        <w:rPr>
          <w:b/>
        </w:rPr>
      </w:pPr>
      <w:r>
        <w:rPr>
          <w:b/>
        </w:rPr>
        <w:t xml:space="preserve">AND FURTHER THAT $196,000 budgeted in 2015 for the Western Ontario Warden’s Caucus SWIFT broadband project </w:t>
      </w:r>
      <w:proofErr w:type="gramStart"/>
      <w:r>
        <w:rPr>
          <w:b/>
        </w:rPr>
        <w:t>be</w:t>
      </w:r>
      <w:proofErr w:type="gramEnd"/>
      <w:r>
        <w:rPr>
          <w:b/>
        </w:rPr>
        <w:t xml:space="preserve"> transferred to reserve for future capital requirements of SWIFT;</w:t>
      </w:r>
    </w:p>
    <w:p w:rsidR="0048025B" w:rsidRDefault="00EA2942" w:rsidP="0046767A">
      <w:pPr>
        <w:spacing w:line="240" w:lineRule="auto"/>
        <w:rPr>
          <w:b/>
        </w:rPr>
      </w:pPr>
      <w:r>
        <w:rPr>
          <w:b/>
        </w:rPr>
        <w:t xml:space="preserve">AND </w:t>
      </w:r>
      <w:r w:rsidR="007D3D47">
        <w:rPr>
          <w:b/>
        </w:rPr>
        <w:t xml:space="preserve">FURTHER </w:t>
      </w:r>
      <w:r>
        <w:rPr>
          <w:b/>
        </w:rPr>
        <w:t xml:space="preserve">THAT </w:t>
      </w:r>
      <w:r w:rsidR="00494BF8">
        <w:rPr>
          <w:b/>
        </w:rPr>
        <w:t>a</w:t>
      </w:r>
      <w:r w:rsidR="00C70272" w:rsidRPr="00C70272">
        <w:rPr>
          <w:b/>
        </w:rPr>
        <w:t xml:space="preserve">ny </w:t>
      </w:r>
      <w:r w:rsidR="00B166E4">
        <w:rPr>
          <w:b/>
        </w:rPr>
        <w:t xml:space="preserve">remaining </w:t>
      </w:r>
      <w:r w:rsidR="00C70272" w:rsidRPr="00C70272">
        <w:rPr>
          <w:b/>
        </w:rPr>
        <w:t>surplus</w:t>
      </w:r>
      <w:r w:rsidR="0048025B">
        <w:rPr>
          <w:b/>
        </w:rPr>
        <w:t>/deficits of the remaining budgets under the care and control of the Planning and Community Development Committee be allocated/funded from their respective reserves.</w:t>
      </w:r>
    </w:p>
    <w:p w:rsidR="00AC3A8B" w:rsidRDefault="00AC3A8B" w:rsidP="00AC3A8B">
      <w:pPr>
        <w:pStyle w:val="Heading2"/>
      </w:pPr>
      <w:r w:rsidRPr="00B0378D">
        <w:lastRenderedPageBreak/>
        <w:t>Background</w:t>
      </w:r>
    </w:p>
    <w:p w:rsidR="00494BF8" w:rsidRDefault="00494BF8" w:rsidP="00D71836">
      <w:r>
        <w:t>The purpose of this report is not to provide an in-depth review of each f</w:t>
      </w:r>
      <w:r w:rsidR="008814D1">
        <w:t>unction and what is leading</w:t>
      </w:r>
      <w:r>
        <w:t xml:space="preserve"> to any projected surplus or deficit as that was provided at the November 17, 2015 Planning and Community Development Committee meeting via Report CCR-PCD-30-15 Analysis of Financial Statements to September 30, 2015.</w:t>
      </w:r>
    </w:p>
    <w:p w:rsidR="00494BF8" w:rsidRDefault="005B69BA" w:rsidP="00D71836">
      <w:r>
        <w:t xml:space="preserve">The following is a breakdown of the functions within the portfolio of the </w:t>
      </w:r>
      <w:r w:rsidR="00EC4155">
        <w:t xml:space="preserve">Planning and Community Development </w:t>
      </w:r>
      <w:r>
        <w:t>Committee</w:t>
      </w:r>
      <w:r w:rsidR="00597DA3">
        <w:t xml:space="preserve"> as of October 31, 201</w:t>
      </w:r>
      <w:r w:rsidR="0046767A">
        <w:t>5</w:t>
      </w:r>
      <w:r>
        <w:t>:</w:t>
      </w:r>
    </w:p>
    <w:tbl>
      <w:tblPr>
        <w:tblStyle w:val="TableGrid"/>
        <w:tblpPr w:leftFromText="180" w:rightFromText="180" w:vertAnchor="text" w:tblpX="74" w:tblpY="1"/>
        <w:tblW w:w="9894" w:type="dxa"/>
        <w:tblLook w:val="04A0" w:firstRow="1" w:lastRow="0" w:firstColumn="1" w:lastColumn="0" w:noHBand="0" w:noVBand="1"/>
        <w:tblCaption w:val="2015 Budget to Actual as of October 31, 2015"/>
        <w:tblDescription w:val="2015 Budget to Actual as of October 31, 2015"/>
      </w:tblPr>
      <w:tblGrid>
        <w:gridCol w:w="2943"/>
        <w:gridCol w:w="1560"/>
        <w:gridCol w:w="1842"/>
        <w:gridCol w:w="1843"/>
        <w:gridCol w:w="1706"/>
      </w:tblGrid>
      <w:tr w:rsidR="005B69BA" w:rsidRPr="008408C1" w:rsidTr="00494BF8">
        <w:trPr>
          <w:trHeight w:val="264"/>
          <w:tblHeader/>
        </w:trPr>
        <w:tc>
          <w:tcPr>
            <w:tcW w:w="2943" w:type="dxa"/>
            <w:tcBorders>
              <w:right w:val="nil"/>
            </w:tcBorders>
            <w:shd w:val="clear" w:color="auto" w:fill="DBE5F1" w:themeFill="accent1" w:themeFillTint="33"/>
            <w:noWrap/>
          </w:tcPr>
          <w:p w:rsidR="005B69BA" w:rsidRPr="00C20D14" w:rsidRDefault="005B69BA" w:rsidP="00494BF8">
            <w:pPr>
              <w:ind w:right="-108"/>
              <w:rPr>
                <w:rFonts w:eastAsia="Times New Roman" w:cs="Arial"/>
                <w:b/>
                <w:color w:val="000000"/>
                <w:sz w:val="20"/>
                <w:szCs w:val="20"/>
                <w:lang w:val="en-CA" w:eastAsia="en-CA"/>
              </w:rPr>
            </w:pPr>
            <w:r>
              <w:rPr>
                <w:rFonts w:eastAsia="Times New Roman" w:cs="Arial"/>
                <w:b/>
                <w:color w:val="000000"/>
                <w:sz w:val="20"/>
                <w:szCs w:val="20"/>
                <w:lang w:val="en-CA" w:eastAsia="en-CA"/>
              </w:rPr>
              <w:t>201</w:t>
            </w:r>
            <w:r w:rsidR="0046767A">
              <w:rPr>
                <w:rFonts w:eastAsia="Times New Roman" w:cs="Arial"/>
                <w:b/>
                <w:color w:val="000000"/>
                <w:sz w:val="20"/>
                <w:szCs w:val="20"/>
                <w:lang w:val="en-CA" w:eastAsia="en-CA"/>
              </w:rPr>
              <w:t>5</w:t>
            </w:r>
            <w:r>
              <w:rPr>
                <w:rFonts w:eastAsia="Times New Roman" w:cs="Arial"/>
                <w:b/>
                <w:color w:val="000000"/>
                <w:sz w:val="20"/>
                <w:szCs w:val="20"/>
                <w:lang w:val="en-CA" w:eastAsia="en-CA"/>
              </w:rPr>
              <w:t xml:space="preserve"> Budget as of October</w:t>
            </w:r>
            <w:r w:rsidR="00494BF8">
              <w:rPr>
                <w:rFonts w:eastAsia="Times New Roman" w:cs="Arial"/>
                <w:b/>
                <w:color w:val="000000"/>
                <w:sz w:val="20"/>
                <w:szCs w:val="20"/>
                <w:lang w:val="en-CA" w:eastAsia="en-CA"/>
              </w:rPr>
              <w:t xml:space="preserve"> 31</w:t>
            </w:r>
            <w:r>
              <w:rPr>
                <w:rFonts w:eastAsia="Times New Roman" w:cs="Arial"/>
                <w:b/>
                <w:color w:val="000000"/>
                <w:sz w:val="20"/>
                <w:szCs w:val="20"/>
                <w:lang w:val="en-CA" w:eastAsia="en-CA"/>
              </w:rPr>
              <w:t xml:space="preserve"> </w:t>
            </w:r>
          </w:p>
        </w:tc>
        <w:tc>
          <w:tcPr>
            <w:tcW w:w="1560" w:type="dxa"/>
            <w:tcBorders>
              <w:left w:val="nil"/>
              <w:right w:val="nil"/>
            </w:tcBorders>
            <w:shd w:val="clear" w:color="auto" w:fill="DBE5F1" w:themeFill="accent1" w:themeFillTint="33"/>
            <w:noWrap/>
          </w:tcPr>
          <w:p w:rsidR="005B69BA" w:rsidRPr="00C20D14" w:rsidRDefault="005B69BA" w:rsidP="005B69BA">
            <w:pPr>
              <w:rPr>
                <w:rFonts w:eastAsia="Times New Roman" w:cs="Arial"/>
                <w:b/>
                <w:color w:val="000000"/>
                <w:sz w:val="20"/>
                <w:szCs w:val="20"/>
                <w:lang w:val="en-CA" w:eastAsia="en-CA"/>
              </w:rPr>
            </w:pPr>
          </w:p>
        </w:tc>
        <w:tc>
          <w:tcPr>
            <w:tcW w:w="1842" w:type="dxa"/>
            <w:tcBorders>
              <w:left w:val="nil"/>
              <w:right w:val="nil"/>
            </w:tcBorders>
            <w:shd w:val="clear" w:color="auto" w:fill="DBE5F1" w:themeFill="accent1" w:themeFillTint="33"/>
            <w:noWrap/>
          </w:tcPr>
          <w:p w:rsidR="005B69BA" w:rsidRPr="00C20D14" w:rsidRDefault="005B69BA" w:rsidP="00130625">
            <w:pPr>
              <w:jc w:val="center"/>
              <w:rPr>
                <w:rFonts w:eastAsia="Times New Roman" w:cs="Arial"/>
                <w:b/>
                <w:color w:val="000000"/>
                <w:sz w:val="20"/>
                <w:szCs w:val="20"/>
                <w:lang w:val="en-CA" w:eastAsia="en-CA"/>
              </w:rPr>
            </w:pPr>
          </w:p>
        </w:tc>
        <w:tc>
          <w:tcPr>
            <w:tcW w:w="1843" w:type="dxa"/>
            <w:tcBorders>
              <w:left w:val="nil"/>
              <w:right w:val="nil"/>
            </w:tcBorders>
            <w:shd w:val="clear" w:color="auto" w:fill="DBE5F1" w:themeFill="accent1" w:themeFillTint="33"/>
          </w:tcPr>
          <w:p w:rsidR="005B69BA" w:rsidRPr="00C20D14" w:rsidRDefault="005B69BA" w:rsidP="00130625">
            <w:pPr>
              <w:jc w:val="center"/>
              <w:rPr>
                <w:rFonts w:eastAsia="Times New Roman" w:cs="Arial"/>
                <w:b/>
                <w:color w:val="000000"/>
                <w:sz w:val="20"/>
                <w:szCs w:val="20"/>
                <w:lang w:val="en-CA" w:eastAsia="en-CA"/>
              </w:rPr>
            </w:pPr>
          </w:p>
        </w:tc>
        <w:tc>
          <w:tcPr>
            <w:tcW w:w="1706" w:type="dxa"/>
            <w:tcBorders>
              <w:left w:val="nil"/>
            </w:tcBorders>
            <w:shd w:val="clear" w:color="auto" w:fill="DBE5F1" w:themeFill="accent1" w:themeFillTint="33"/>
          </w:tcPr>
          <w:p w:rsidR="005B69BA" w:rsidRDefault="005B69BA" w:rsidP="00130625">
            <w:pPr>
              <w:jc w:val="center"/>
              <w:rPr>
                <w:rFonts w:eastAsia="Times New Roman" w:cs="Arial"/>
                <w:b/>
                <w:color w:val="000000"/>
                <w:sz w:val="20"/>
                <w:szCs w:val="20"/>
                <w:lang w:val="en-CA" w:eastAsia="en-CA"/>
              </w:rPr>
            </w:pPr>
          </w:p>
        </w:tc>
      </w:tr>
      <w:tr w:rsidR="005B69BA" w:rsidRPr="008408C1" w:rsidTr="00494BF8">
        <w:trPr>
          <w:trHeight w:val="264"/>
        </w:trPr>
        <w:tc>
          <w:tcPr>
            <w:tcW w:w="2943" w:type="dxa"/>
            <w:shd w:val="clear" w:color="auto" w:fill="DBE5F1" w:themeFill="accent1" w:themeFillTint="33"/>
            <w:noWrap/>
          </w:tcPr>
          <w:p w:rsidR="005B69BA" w:rsidRPr="00C20D14" w:rsidRDefault="005B69BA" w:rsidP="00130625">
            <w:pPr>
              <w:jc w:val="center"/>
              <w:rPr>
                <w:rFonts w:eastAsia="Times New Roman" w:cs="Arial"/>
                <w:b/>
                <w:color w:val="000000"/>
                <w:sz w:val="20"/>
                <w:szCs w:val="20"/>
                <w:lang w:val="en-CA" w:eastAsia="en-CA"/>
              </w:rPr>
            </w:pPr>
            <w:r w:rsidRPr="00C20D14">
              <w:rPr>
                <w:rFonts w:eastAsia="Times New Roman" w:cs="Arial"/>
                <w:b/>
                <w:color w:val="000000"/>
                <w:sz w:val="20"/>
                <w:szCs w:val="20"/>
                <w:lang w:val="en-CA" w:eastAsia="en-CA"/>
              </w:rPr>
              <w:t>Function</w:t>
            </w:r>
          </w:p>
        </w:tc>
        <w:tc>
          <w:tcPr>
            <w:tcW w:w="1560" w:type="dxa"/>
            <w:shd w:val="clear" w:color="auto" w:fill="DBE5F1" w:themeFill="accent1" w:themeFillTint="33"/>
            <w:noWrap/>
          </w:tcPr>
          <w:p w:rsidR="005B69BA" w:rsidRPr="00C20D14" w:rsidRDefault="005B69BA" w:rsidP="0046767A">
            <w:pPr>
              <w:jc w:val="center"/>
              <w:rPr>
                <w:rFonts w:eastAsia="Times New Roman" w:cs="Arial"/>
                <w:b/>
                <w:color w:val="000000"/>
                <w:sz w:val="20"/>
                <w:szCs w:val="20"/>
                <w:lang w:val="en-CA" w:eastAsia="en-CA"/>
              </w:rPr>
            </w:pPr>
            <w:r w:rsidRPr="00C20D14">
              <w:rPr>
                <w:rFonts w:eastAsia="Times New Roman" w:cs="Arial"/>
                <w:b/>
                <w:color w:val="000000"/>
                <w:sz w:val="20"/>
                <w:szCs w:val="20"/>
                <w:lang w:val="en-CA" w:eastAsia="en-CA"/>
              </w:rPr>
              <w:t>201</w:t>
            </w:r>
            <w:r w:rsidR="0046767A">
              <w:rPr>
                <w:rFonts w:eastAsia="Times New Roman" w:cs="Arial"/>
                <w:b/>
                <w:color w:val="000000"/>
                <w:sz w:val="20"/>
                <w:szCs w:val="20"/>
                <w:lang w:val="en-CA" w:eastAsia="en-CA"/>
              </w:rPr>
              <w:t>5</w:t>
            </w:r>
            <w:r w:rsidRPr="00C20D14">
              <w:rPr>
                <w:rFonts w:eastAsia="Times New Roman" w:cs="Arial"/>
                <w:b/>
                <w:color w:val="000000"/>
                <w:sz w:val="20"/>
                <w:szCs w:val="20"/>
                <w:lang w:val="en-CA" w:eastAsia="en-CA"/>
              </w:rPr>
              <w:t xml:space="preserve"> Net Budget</w:t>
            </w:r>
          </w:p>
        </w:tc>
        <w:tc>
          <w:tcPr>
            <w:tcW w:w="1842" w:type="dxa"/>
            <w:shd w:val="clear" w:color="auto" w:fill="DBE5F1" w:themeFill="accent1" w:themeFillTint="33"/>
            <w:noWrap/>
          </w:tcPr>
          <w:p w:rsidR="005B69BA" w:rsidRPr="00C20D14" w:rsidRDefault="005B69BA" w:rsidP="006F1E4D">
            <w:pPr>
              <w:jc w:val="center"/>
              <w:rPr>
                <w:rFonts w:eastAsia="Times New Roman" w:cs="Arial"/>
                <w:b/>
                <w:color w:val="000000"/>
                <w:sz w:val="20"/>
                <w:szCs w:val="20"/>
                <w:lang w:val="en-CA" w:eastAsia="en-CA"/>
              </w:rPr>
            </w:pPr>
            <w:r w:rsidRPr="00C20D14">
              <w:rPr>
                <w:rFonts w:eastAsia="Times New Roman" w:cs="Arial"/>
                <w:b/>
                <w:color w:val="000000"/>
                <w:sz w:val="20"/>
                <w:szCs w:val="20"/>
                <w:lang w:val="en-CA" w:eastAsia="en-CA"/>
              </w:rPr>
              <w:t xml:space="preserve">Net Budget based on </w:t>
            </w:r>
            <w:r w:rsidR="006F1E4D">
              <w:rPr>
                <w:rFonts w:eastAsia="Times New Roman" w:cs="Arial"/>
                <w:b/>
                <w:color w:val="000000"/>
                <w:sz w:val="20"/>
                <w:szCs w:val="20"/>
                <w:lang w:val="en-CA" w:eastAsia="en-CA"/>
              </w:rPr>
              <w:t>10</w:t>
            </w:r>
            <w:r w:rsidRPr="00C20D14">
              <w:rPr>
                <w:rFonts w:eastAsia="Times New Roman" w:cs="Arial"/>
                <w:b/>
                <w:color w:val="000000"/>
                <w:sz w:val="20"/>
                <w:szCs w:val="20"/>
                <w:lang w:val="en-CA" w:eastAsia="en-CA"/>
              </w:rPr>
              <w:t xml:space="preserve"> months</w:t>
            </w:r>
          </w:p>
        </w:tc>
        <w:tc>
          <w:tcPr>
            <w:tcW w:w="1843" w:type="dxa"/>
            <w:shd w:val="clear" w:color="auto" w:fill="DBE5F1" w:themeFill="accent1" w:themeFillTint="33"/>
          </w:tcPr>
          <w:p w:rsidR="005B69BA" w:rsidRPr="00C20D14" w:rsidRDefault="0046767A" w:rsidP="00130625">
            <w:pPr>
              <w:jc w:val="center"/>
              <w:rPr>
                <w:rFonts w:eastAsia="Times New Roman" w:cs="Arial"/>
                <w:b/>
                <w:color w:val="000000"/>
                <w:sz w:val="20"/>
                <w:szCs w:val="20"/>
                <w:lang w:val="en-CA" w:eastAsia="en-CA"/>
              </w:rPr>
            </w:pPr>
            <w:r>
              <w:rPr>
                <w:rFonts w:eastAsia="Times New Roman" w:cs="Arial"/>
                <w:b/>
                <w:color w:val="000000"/>
                <w:sz w:val="20"/>
                <w:szCs w:val="20"/>
                <w:lang w:val="en-CA" w:eastAsia="en-CA"/>
              </w:rPr>
              <w:t>2015</w:t>
            </w:r>
            <w:r w:rsidR="005B69BA" w:rsidRPr="00C20D14">
              <w:rPr>
                <w:rFonts w:eastAsia="Times New Roman" w:cs="Arial"/>
                <w:b/>
                <w:color w:val="000000"/>
                <w:sz w:val="20"/>
                <w:szCs w:val="20"/>
                <w:lang w:val="en-CA" w:eastAsia="en-CA"/>
              </w:rPr>
              <w:t xml:space="preserve"> YTD Net Actual</w:t>
            </w:r>
          </w:p>
        </w:tc>
        <w:tc>
          <w:tcPr>
            <w:tcW w:w="1706" w:type="dxa"/>
            <w:shd w:val="clear" w:color="auto" w:fill="DBE5F1" w:themeFill="accent1" w:themeFillTint="33"/>
          </w:tcPr>
          <w:p w:rsidR="005B69BA" w:rsidRPr="00C20D14" w:rsidRDefault="005B69BA" w:rsidP="00130625">
            <w:pPr>
              <w:jc w:val="center"/>
              <w:rPr>
                <w:rFonts w:eastAsia="Times New Roman" w:cs="Arial"/>
                <w:b/>
                <w:color w:val="000000"/>
                <w:sz w:val="20"/>
                <w:szCs w:val="20"/>
                <w:lang w:val="en-CA" w:eastAsia="en-CA"/>
              </w:rPr>
            </w:pPr>
            <w:r>
              <w:rPr>
                <w:rFonts w:eastAsia="Times New Roman" w:cs="Arial"/>
                <w:b/>
                <w:color w:val="000000"/>
                <w:sz w:val="20"/>
                <w:szCs w:val="20"/>
                <w:lang w:val="en-CA" w:eastAsia="en-CA"/>
              </w:rPr>
              <w:t>Projected Surplus (Deficit)</w:t>
            </w:r>
          </w:p>
        </w:tc>
      </w:tr>
      <w:tr w:rsidR="00494BF8" w:rsidRPr="008408C1" w:rsidTr="007A5295">
        <w:trPr>
          <w:trHeight w:val="264"/>
        </w:trPr>
        <w:tc>
          <w:tcPr>
            <w:tcW w:w="2943" w:type="dxa"/>
            <w:noWrap/>
            <w:hideMark/>
          </w:tcPr>
          <w:p w:rsidR="00494BF8" w:rsidRPr="007B09F5" w:rsidRDefault="00494BF8" w:rsidP="00130625">
            <w:pPr>
              <w:rPr>
                <w:rFonts w:eastAsia="Times New Roman" w:cs="Arial"/>
                <w:color w:val="000000"/>
                <w:sz w:val="22"/>
                <w:szCs w:val="22"/>
                <w:lang w:val="en-CA" w:eastAsia="en-CA"/>
              </w:rPr>
            </w:pPr>
            <w:r w:rsidRPr="007B09F5">
              <w:rPr>
                <w:rFonts w:eastAsia="Times New Roman" w:cs="Arial"/>
                <w:color w:val="000000"/>
                <w:sz w:val="22"/>
                <w:szCs w:val="22"/>
                <w:lang w:val="en-CA" w:eastAsia="en-CA"/>
              </w:rPr>
              <w:t>Planning - Operating</w:t>
            </w:r>
          </w:p>
        </w:tc>
        <w:tc>
          <w:tcPr>
            <w:tcW w:w="1560"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653,076</w:t>
            </w:r>
          </w:p>
        </w:tc>
        <w:tc>
          <w:tcPr>
            <w:tcW w:w="1842"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544,240</w:t>
            </w:r>
          </w:p>
        </w:tc>
        <w:tc>
          <w:tcPr>
            <w:tcW w:w="1843" w:type="dxa"/>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532,591</w:t>
            </w:r>
          </w:p>
        </w:tc>
        <w:tc>
          <w:tcPr>
            <w:tcW w:w="1706" w:type="dxa"/>
            <w:vAlign w:val="bottom"/>
          </w:tcPr>
          <w:p w:rsidR="00494BF8" w:rsidRDefault="003D498A" w:rsidP="00EA6144">
            <w:pPr>
              <w:jc w:val="right"/>
              <w:rPr>
                <w:rFonts w:ascii="HelveticaNeueLT Std" w:hAnsi="HelveticaNeueLT Std" w:cs="Arial"/>
                <w:sz w:val="20"/>
                <w:szCs w:val="20"/>
              </w:rPr>
            </w:pPr>
            <w:r>
              <w:rPr>
                <w:rFonts w:ascii="HelveticaNeueLT Std" w:hAnsi="HelveticaNeueLT Std" w:cs="Arial"/>
                <w:sz w:val="20"/>
                <w:szCs w:val="20"/>
              </w:rPr>
              <w:t>1</w:t>
            </w:r>
            <w:r w:rsidR="00EA6144">
              <w:rPr>
                <w:rFonts w:ascii="HelveticaNeueLT Std" w:hAnsi="HelveticaNeueLT Std" w:cs="Arial"/>
                <w:sz w:val="20"/>
                <w:szCs w:val="20"/>
              </w:rPr>
              <w:t>0</w:t>
            </w:r>
            <w:r>
              <w:rPr>
                <w:rFonts w:ascii="HelveticaNeueLT Std" w:hAnsi="HelveticaNeueLT Std" w:cs="Arial"/>
                <w:sz w:val="20"/>
                <w:szCs w:val="20"/>
              </w:rPr>
              <w:t>,000</w:t>
            </w:r>
          </w:p>
        </w:tc>
      </w:tr>
      <w:tr w:rsidR="00494BF8" w:rsidRPr="008408C1" w:rsidTr="007A5295">
        <w:trPr>
          <w:trHeight w:val="264"/>
        </w:trPr>
        <w:tc>
          <w:tcPr>
            <w:tcW w:w="2943" w:type="dxa"/>
            <w:noWrap/>
            <w:hideMark/>
          </w:tcPr>
          <w:p w:rsidR="00494BF8" w:rsidRPr="007B09F5" w:rsidRDefault="00494BF8" w:rsidP="00130625">
            <w:pPr>
              <w:rPr>
                <w:rFonts w:eastAsia="Times New Roman" w:cs="Arial"/>
                <w:color w:val="000000"/>
                <w:sz w:val="22"/>
                <w:szCs w:val="22"/>
                <w:lang w:val="en-CA" w:eastAsia="en-CA"/>
              </w:rPr>
            </w:pPr>
            <w:r w:rsidRPr="007B09F5">
              <w:rPr>
                <w:rFonts w:eastAsia="Times New Roman" w:cs="Arial"/>
                <w:color w:val="000000"/>
                <w:sz w:val="22"/>
                <w:szCs w:val="22"/>
                <w:lang w:val="en-CA" w:eastAsia="en-CA"/>
              </w:rPr>
              <w:t>Planning - Capital</w:t>
            </w:r>
          </w:p>
        </w:tc>
        <w:tc>
          <w:tcPr>
            <w:tcW w:w="1560"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11,000</w:t>
            </w:r>
          </w:p>
        </w:tc>
        <w:tc>
          <w:tcPr>
            <w:tcW w:w="1842"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9,160</w:t>
            </w:r>
          </w:p>
        </w:tc>
        <w:tc>
          <w:tcPr>
            <w:tcW w:w="1843" w:type="dxa"/>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23,440</w:t>
            </w:r>
          </w:p>
        </w:tc>
        <w:tc>
          <w:tcPr>
            <w:tcW w:w="1706" w:type="dxa"/>
            <w:vAlign w:val="bottom"/>
          </w:tcPr>
          <w:p w:rsidR="00494BF8" w:rsidRDefault="003D498A">
            <w:pPr>
              <w:jc w:val="right"/>
              <w:rPr>
                <w:rFonts w:ascii="HelveticaNeueLT Std" w:hAnsi="HelveticaNeueLT Std" w:cs="Arial"/>
                <w:sz w:val="20"/>
                <w:szCs w:val="20"/>
              </w:rPr>
            </w:pPr>
            <w:r>
              <w:rPr>
                <w:rFonts w:ascii="HelveticaNeueLT Std" w:hAnsi="HelveticaNeueLT Std" w:cs="Arial"/>
                <w:sz w:val="20"/>
                <w:szCs w:val="20"/>
              </w:rPr>
              <w:t>0</w:t>
            </w:r>
          </w:p>
        </w:tc>
      </w:tr>
      <w:tr w:rsidR="00494BF8" w:rsidRPr="008408C1" w:rsidTr="007A5295">
        <w:trPr>
          <w:trHeight w:val="288"/>
        </w:trPr>
        <w:tc>
          <w:tcPr>
            <w:tcW w:w="2943" w:type="dxa"/>
            <w:noWrap/>
            <w:hideMark/>
          </w:tcPr>
          <w:p w:rsidR="00494BF8" w:rsidRPr="007B09F5" w:rsidRDefault="00494BF8" w:rsidP="00130625">
            <w:pPr>
              <w:rPr>
                <w:rFonts w:eastAsia="Times New Roman" w:cs="Arial"/>
                <w:color w:val="000000"/>
                <w:sz w:val="22"/>
                <w:szCs w:val="22"/>
                <w:lang w:val="en-CA" w:eastAsia="en-CA"/>
              </w:rPr>
            </w:pPr>
            <w:r w:rsidRPr="007B09F5">
              <w:rPr>
                <w:rFonts w:eastAsia="Times New Roman" w:cs="Arial"/>
                <w:color w:val="000000"/>
                <w:sz w:val="22"/>
                <w:szCs w:val="22"/>
                <w:lang w:val="en-CA" w:eastAsia="en-CA"/>
              </w:rPr>
              <w:t>Agriculture</w:t>
            </w:r>
          </w:p>
        </w:tc>
        <w:tc>
          <w:tcPr>
            <w:tcW w:w="1560"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143,280</w:t>
            </w:r>
          </w:p>
        </w:tc>
        <w:tc>
          <w:tcPr>
            <w:tcW w:w="1842"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119,410</w:t>
            </w:r>
          </w:p>
        </w:tc>
        <w:tc>
          <w:tcPr>
            <w:tcW w:w="1843" w:type="dxa"/>
            <w:vAlign w:val="bottom"/>
          </w:tcPr>
          <w:p w:rsidR="00494BF8" w:rsidRDefault="00494BF8">
            <w:pPr>
              <w:jc w:val="right"/>
              <w:rPr>
                <w:rFonts w:ascii="HelveticaNeueLT Std" w:hAnsi="HelveticaNeueLT Std" w:cs="Arial"/>
                <w:color w:val="000000"/>
                <w:sz w:val="22"/>
                <w:szCs w:val="22"/>
              </w:rPr>
            </w:pPr>
            <w:r>
              <w:rPr>
                <w:rFonts w:ascii="HelveticaNeueLT Std" w:hAnsi="HelveticaNeueLT Std" w:cs="Arial"/>
                <w:color w:val="000000"/>
                <w:sz w:val="22"/>
                <w:szCs w:val="22"/>
              </w:rPr>
              <w:t>101,806</w:t>
            </w:r>
          </w:p>
        </w:tc>
        <w:tc>
          <w:tcPr>
            <w:tcW w:w="1706" w:type="dxa"/>
            <w:vAlign w:val="bottom"/>
          </w:tcPr>
          <w:p w:rsidR="00494BF8" w:rsidRDefault="003D498A">
            <w:pPr>
              <w:jc w:val="right"/>
              <w:rPr>
                <w:rFonts w:ascii="HelveticaNeueLT Std" w:hAnsi="HelveticaNeueLT Std" w:cs="Arial"/>
                <w:sz w:val="20"/>
                <w:szCs w:val="20"/>
              </w:rPr>
            </w:pPr>
            <w:r>
              <w:rPr>
                <w:rFonts w:ascii="HelveticaNeueLT Std" w:hAnsi="HelveticaNeueLT Std" w:cs="Arial"/>
                <w:sz w:val="20"/>
                <w:szCs w:val="20"/>
              </w:rPr>
              <w:t>17,500</w:t>
            </w:r>
          </w:p>
        </w:tc>
      </w:tr>
      <w:tr w:rsidR="00494BF8" w:rsidRPr="008408C1" w:rsidTr="007A5295">
        <w:trPr>
          <w:trHeight w:val="288"/>
        </w:trPr>
        <w:tc>
          <w:tcPr>
            <w:tcW w:w="2943" w:type="dxa"/>
            <w:noWrap/>
            <w:hideMark/>
          </w:tcPr>
          <w:p w:rsidR="00494BF8" w:rsidRPr="007B09F5" w:rsidRDefault="00494BF8" w:rsidP="00130625">
            <w:pPr>
              <w:rPr>
                <w:rFonts w:eastAsia="Times New Roman" w:cs="Arial"/>
                <w:color w:val="000000"/>
                <w:sz w:val="22"/>
                <w:szCs w:val="22"/>
                <w:lang w:val="en-CA" w:eastAsia="en-CA"/>
              </w:rPr>
            </w:pPr>
            <w:r w:rsidRPr="007B09F5">
              <w:rPr>
                <w:rFonts w:eastAsia="Times New Roman" w:cs="Arial"/>
                <w:color w:val="000000"/>
                <w:sz w:val="22"/>
                <w:szCs w:val="22"/>
                <w:lang w:val="en-CA" w:eastAsia="en-CA"/>
              </w:rPr>
              <w:t>Forestry - Operating</w:t>
            </w:r>
          </w:p>
        </w:tc>
        <w:tc>
          <w:tcPr>
            <w:tcW w:w="1560"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(105,614)</w:t>
            </w:r>
          </w:p>
        </w:tc>
        <w:tc>
          <w:tcPr>
            <w:tcW w:w="1842"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(88,020)</w:t>
            </w:r>
          </w:p>
        </w:tc>
        <w:tc>
          <w:tcPr>
            <w:tcW w:w="1843" w:type="dxa"/>
            <w:vAlign w:val="bottom"/>
          </w:tcPr>
          <w:p w:rsidR="00494BF8" w:rsidRDefault="00494BF8">
            <w:pPr>
              <w:jc w:val="right"/>
              <w:rPr>
                <w:rFonts w:ascii="HelveticaNeueLT Std" w:hAnsi="HelveticaNeueLT Std" w:cs="Arial"/>
                <w:color w:val="000000"/>
                <w:sz w:val="22"/>
                <w:szCs w:val="22"/>
              </w:rPr>
            </w:pPr>
            <w:r>
              <w:rPr>
                <w:rFonts w:ascii="HelveticaNeueLT Std" w:hAnsi="HelveticaNeueLT Std" w:cs="Arial"/>
                <w:color w:val="000000"/>
                <w:sz w:val="22"/>
                <w:szCs w:val="22"/>
              </w:rPr>
              <w:t>(332,895)</w:t>
            </w:r>
          </w:p>
        </w:tc>
        <w:tc>
          <w:tcPr>
            <w:tcW w:w="1706" w:type="dxa"/>
            <w:vAlign w:val="bottom"/>
          </w:tcPr>
          <w:p w:rsidR="00494BF8" w:rsidRDefault="003D498A">
            <w:pPr>
              <w:jc w:val="right"/>
              <w:rPr>
                <w:rFonts w:ascii="HelveticaNeueLT Std" w:hAnsi="HelveticaNeueLT Std" w:cs="Arial"/>
                <w:sz w:val="20"/>
                <w:szCs w:val="20"/>
              </w:rPr>
            </w:pPr>
            <w:r>
              <w:rPr>
                <w:rFonts w:ascii="HelveticaNeueLT Std" w:hAnsi="HelveticaNeueLT Std" w:cs="Arial"/>
                <w:sz w:val="20"/>
                <w:szCs w:val="20"/>
              </w:rPr>
              <w:t>170,000</w:t>
            </w:r>
          </w:p>
        </w:tc>
      </w:tr>
      <w:tr w:rsidR="00494BF8" w:rsidRPr="008408C1" w:rsidTr="007A5295">
        <w:trPr>
          <w:trHeight w:val="288"/>
        </w:trPr>
        <w:tc>
          <w:tcPr>
            <w:tcW w:w="2943" w:type="dxa"/>
            <w:noWrap/>
            <w:hideMark/>
          </w:tcPr>
          <w:p w:rsidR="00494BF8" w:rsidRPr="007B09F5" w:rsidRDefault="00494BF8" w:rsidP="00130625">
            <w:pPr>
              <w:rPr>
                <w:rFonts w:eastAsia="Times New Roman" w:cs="Arial"/>
                <w:color w:val="000000"/>
                <w:sz w:val="22"/>
                <w:szCs w:val="22"/>
                <w:lang w:val="en-CA" w:eastAsia="en-CA"/>
              </w:rPr>
            </w:pPr>
            <w:r w:rsidRPr="007B09F5">
              <w:rPr>
                <w:rFonts w:eastAsia="Times New Roman" w:cs="Arial"/>
                <w:color w:val="000000"/>
                <w:sz w:val="22"/>
                <w:szCs w:val="22"/>
                <w:lang w:val="en-CA" w:eastAsia="en-CA"/>
              </w:rPr>
              <w:t>Trails - Operating</w:t>
            </w:r>
          </w:p>
        </w:tc>
        <w:tc>
          <w:tcPr>
            <w:tcW w:w="1560"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63,360</w:t>
            </w:r>
          </w:p>
        </w:tc>
        <w:tc>
          <w:tcPr>
            <w:tcW w:w="1842"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52,810</w:t>
            </w:r>
          </w:p>
        </w:tc>
        <w:tc>
          <w:tcPr>
            <w:tcW w:w="1843" w:type="dxa"/>
            <w:vAlign w:val="bottom"/>
          </w:tcPr>
          <w:p w:rsidR="00494BF8" w:rsidRDefault="00494BF8">
            <w:pPr>
              <w:jc w:val="right"/>
              <w:rPr>
                <w:rFonts w:ascii="HelveticaNeueLT Std" w:hAnsi="HelveticaNeueLT Std" w:cs="Arial"/>
                <w:color w:val="000000"/>
                <w:sz w:val="22"/>
                <w:szCs w:val="22"/>
              </w:rPr>
            </w:pPr>
            <w:r>
              <w:rPr>
                <w:rFonts w:ascii="HelveticaNeueLT Std" w:hAnsi="HelveticaNeueLT Std" w:cs="Arial"/>
                <w:color w:val="000000"/>
                <w:sz w:val="22"/>
                <w:szCs w:val="22"/>
              </w:rPr>
              <w:t>12,595</w:t>
            </w:r>
          </w:p>
        </w:tc>
        <w:tc>
          <w:tcPr>
            <w:tcW w:w="1706" w:type="dxa"/>
            <w:vAlign w:val="bottom"/>
          </w:tcPr>
          <w:p w:rsidR="00494BF8" w:rsidRDefault="003D498A" w:rsidP="0030251E">
            <w:pPr>
              <w:jc w:val="right"/>
              <w:rPr>
                <w:rFonts w:ascii="HelveticaNeueLT Std" w:hAnsi="HelveticaNeueLT Std" w:cs="Arial"/>
                <w:sz w:val="20"/>
                <w:szCs w:val="20"/>
              </w:rPr>
            </w:pPr>
            <w:r>
              <w:rPr>
                <w:rFonts w:ascii="HelveticaNeueLT Std" w:hAnsi="HelveticaNeueLT Std" w:cs="Arial"/>
                <w:sz w:val="20"/>
                <w:szCs w:val="20"/>
              </w:rPr>
              <w:t>3</w:t>
            </w:r>
            <w:r w:rsidR="0030251E">
              <w:rPr>
                <w:rFonts w:ascii="HelveticaNeueLT Std" w:hAnsi="HelveticaNeueLT Std" w:cs="Arial"/>
                <w:sz w:val="20"/>
                <w:szCs w:val="20"/>
              </w:rPr>
              <w:t>5</w:t>
            </w:r>
            <w:r>
              <w:rPr>
                <w:rFonts w:ascii="HelveticaNeueLT Std" w:hAnsi="HelveticaNeueLT Std" w:cs="Arial"/>
                <w:sz w:val="20"/>
                <w:szCs w:val="20"/>
              </w:rPr>
              <w:t>,000</w:t>
            </w:r>
          </w:p>
        </w:tc>
      </w:tr>
      <w:tr w:rsidR="00494BF8" w:rsidRPr="008408C1" w:rsidTr="007A5295">
        <w:trPr>
          <w:trHeight w:val="288"/>
        </w:trPr>
        <w:tc>
          <w:tcPr>
            <w:tcW w:w="2943" w:type="dxa"/>
            <w:noWrap/>
            <w:hideMark/>
          </w:tcPr>
          <w:p w:rsidR="00494BF8" w:rsidRPr="007B09F5" w:rsidRDefault="00494BF8" w:rsidP="00130625">
            <w:pPr>
              <w:rPr>
                <w:rFonts w:eastAsia="Times New Roman" w:cs="Arial"/>
                <w:color w:val="000000"/>
                <w:sz w:val="22"/>
                <w:szCs w:val="22"/>
                <w:lang w:val="en-CA" w:eastAsia="en-CA"/>
              </w:rPr>
            </w:pPr>
            <w:r w:rsidRPr="007B09F5">
              <w:rPr>
                <w:rFonts w:eastAsia="Times New Roman" w:cs="Arial"/>
                <w:color w:val="000000"/>
                <w:sz w:val="22"/>
                <w:szCs w:val="22"/>
                <w:lang w:val="en-CA" w:eastAsia="en-CA"/>
              </w:rPr>
              <w:t>Trails - Capital</w:t>
            </w:r>
          </w:p>
        </w:tc>
        <w:tc>
          <w:tcPr>
            <w:tcW w:w="1560"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75,000</w:t>
            </w:r>
          </w:p>
        </w:tc>
        <w:tc>
          <w:tcPr>
            <w:tcW w:w="1842"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62,500</w:t>
            </w:r>
          </w:p>
        </w:tc>
        <w:tc>
          <w:tcPr>
            <w:tcW w:w="1843" w:type="dxa"/>
            <w:vAlign w:val="bottom"/>
          </w:tcPr>
          <w:p w:rsidR="00494BF8" w:rsidRDefault="00494BF8">
            <w:pPr>
              <w:jc w:val="right"/>
              <w:rPr>
                <w:rFonts w:ascii="HelveticaNeueLT Std" w:hAnsi="HelveticaNeueLT Std" w:cs="Arial"/>
                <w:color w:val="000000"/>
                <w:sz w:val="22"/>
                <w:szCs w:val="22"/>
              </w:rPr>
            </w:pPr>
            <w:r>
              <w:rPr>
                <w:rFonts w:ascii="HelveticaNeueLT Std" w:hAnsi="HelveticaNeueLT Std" w:cs="Arial"/>
                <w:color w:val="000000"/>
                <w:sz w:val="22"/>
                <w:szCs w:val="22"/>
              </w:rPr>
              <w:t>27,373</w:t>
            </w:r>
          </w:p>
        </w:tc>
        <w:tc>
          <w:tcPr>
            <w:tcW w:w="1706" w:type="dxa"/>
            <w:vAlign w:val="bottom"/>
          </w:tcPr>
          <w:p w:rsidR="00494BF8" w:rsidRDefault="003D498A">
            <w:pPr>
              <w:jc w:val="right"/>
              <w:rPr>
                <w:rFonts w:ascii="HelveticaNeueLT Std" w:hAnsi="HelveticaNeueLT Std" w:cs="Arial"/>
                <w:sz w:val="20"/>
                <w:szCs w:val="20"/>
              </w:rPr>
            </w:pPr>
            <w:r>
              <w:rPr>
                <w:rFonts w:ascii="HelveticaNeueLT Std" w:hAnsi="HelveticaNeueLT Std" w:cs="Arial"/>
                <w:sz w:val="20"/>
                <w:szCs w:val="20"/>
              </w:rPr>
              <w:t>0</w:t>
            </w:r>
          </w:p>
        </w:tc>
      </w:tr>
      <w:tr w:rsidR="00494BF8" w:rsidRPr="008408C1" w:rsidTr="007A5295">
        <w:trPr>
          <w:trHeight w:val="288"/>
        </w:trPr>
        <w:tc>
          <w:tcPr>
            <w:tcW w:w="2943" w:type="dxa"/>
            <w:noWrap/>
            <w:hideMark/>
          </w:tcPr>
          <w:p w:rsidR="00494BF8" w:rsidRPr="007B09F5" w:rsidRDefault="00494BF8" w:rsidP="00130625">
            <w:pPr>
              <w:rPr>
                <w:rFonts w:eastAsia="Times New Roman" w:cs="Arial"/>
                <w:color w:val="000000"/>
                <w:sz w:val="22"/>
                <w:szCs w:val="22"/>
                <w:lang w:val="en-CA" w:eastAsia="en-CA"/>
              </w:rPr>
            </w:pPr>
            <w:r w:rsidRPr="007B09F5">
              <w:rPr>
                <w:rFonts w:eastAsia="Times New Roman" w:cs="Arial"/>
                <w:color w:val="000000"/>
                <w:sz w:val="22"/>
                <w:szCs w:val="22"/>
                <w:lang w:val="en-CA" w:eastAsia="en-CA"/>
              </w:rPr>
              <w:t>Tourism</w:t>
            </w:r>
          </w:p>
        </w:tc>
        <w:tc>
          <w:tcPr>
            <w:tcW w:w="1560"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513,085</w:t>
            </w:r>
          </w:p>
        </w:tc>
        <w:tc>
          <w:tcPr>
            <w:tcW w:w="1842"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427,570</w:t>
            </w:r>
          </w:p>
        </w:tc>
        <w:tc>
          <w:tcPr>
            <w:tcW w:w="1843" w:type="dxa"/>
            <w:vAlign w:val="bottom"/>
          </w:tcPr>
          <w:p w:rsidR="00494BF8" w:rsidRDefault="00494BF8">
            <w:pPr>
              <w:jc w:val="right"/>
              <w:rPr>
                <w:rFonts w:ascii="HelveticaNeueLT Std" w:hAnsi="HelveticaNeueLT Std" w:cs="Arial"/>
                <w:color w:val="000000"/>
                <w:sz w:val="22"/>
                <w:szCs w:val="22"/>
              </w:rPr>
            </w:pPr>
            <w:r>
              <w:rPr>
                <w:rFonts w:ascii="HelveticaNeueLT Std" w:hAnsi="HelveticaNeueLT Std" w:cs="Arial"/>
                <w:color w:val="000000"/>
                <w:sz w:val="22"/>
                <w:szCs w:val="22"/>
              </w:rPr>
              <w:t>457,077</w:t>
            </w:r>
          </w:p>
        </w:tc>
        <w:tc>
          <w:tcPr>
            <w:tcW w:w="1706" w:type="dxa"/>
            <w:vAlign w:val="bottom"/>
          </w:tcPr>
          <w:p w:rsidR="00494BF8" w:rsidRDefault="001C5E5C">
            <w:pPr>
              <w:jc w:val="right"/>
              <w:rPr>
                <w:rFonts w:ascii="HelveticaNeueLT Std" w:hAnsi="HelveticaNeueLT Std" w:cs="Arial"/>
                <w:sz w:val="20"/>
                <w:szCs w:val="20"/>
              </w:rPr>
            </w:pPr>
            <w:r>
              <w:rPr>
                <w:rFonts w:ascii="HelveticaNeueLT Std" w:hAnsi="HelveticaNeueLT Std" w:cs="Arial"/>
                <w:sz w:val="20"/>
                <w:szCs w:val="20"/>
              </w:rPr>
              <w:t>0</w:t>
            </w:r>
          </w:p>
        </w:tc>
      </w:tr>
      <w:tr w:rsidR="00494BF8" w:rsidRPr="008408C1" w:rsidTr="007A5295">
        <w:trPr>
          <w:trHeight w:val="288"/>
        </w:trPr>
        <w:tc>
          <w:tcPr>
            <w:tcW w:w="2943" w:type="dxa"/>
            <w:noWrap/>
            <w:hideMark/>
          </w:tcPr>
          <w:p w:rsidR="00494BF8" w:rsidRPr="007B09F5" w:rsidRDefault="00494BF8" w:rsidP="00130625">
            <w:pPr>
              <w:rPr>
                <w:rFonts w:eastAsia="Times New Roman" w:cs="Arial"/>
                <w:color w:val="000000"/>
                <w:sz w:val="22"/>
                <w:szCs w:val="22"/>
                <w:lang w:val="en-CA" w:eastAsia="en-CA"/>
              </w:rPr>
            </w:pPr>
            <w:r w:rsidRPr="007B09F5">
              <w:rPr>
                <w:rFonts w:eastAsia="Times New Roman" w:cs="Arial"/>
                <w:color w:val="000000"/>
                <w:sz w:val="22"/>
                <w:szCs w:val="22"/>
                <w:lang w:val="en-CA" w:eastAsia="en-CA"/>
              </w:rPr>
              <w:t>Economic Development</w:t>
            </w:r>
          </w:p>
        </w:tc>
        <w:tc>
          <w:tcPr>
            <w:tcW w:w="1560"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374,505</w:t>
            </w:r>
          </w:p>
        </w:tc>
        <w:tc>
          <w:tcPr>
            <w:tcW w:w="1842"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312,110</w:t>
            </w:r>
          </w:p>
        </w:tc>
        <w:tc>
          <w:tcPr>
            <w:tcW w:w="1843" w:type="dxa"/>
            <w:vAlign w:val="bottom"/>
          </w:tcPr>
          <w:p w:rsidR="00494BF8" w:rsidRDefault="00494BF8">
            <w:pPr>
              <w:jc w:val="right"/>
              <w:rPr>
                <w:rFonts w:ascii="HelveticaNeueLT Std" w:hAnsi="HelveticaNeueLT Std" w:cs="Arial"/>
                <w:color w:val="000000"/>
                <w:sz w:val="22"/>
                <w:szCs w:val="22"/>
              </w:rPr>
            </w:pPr>
            <w:r>
              <w:rPr>
                <w:rFonts w:ascii="HelveticaNeueLT Std" w:hAnsi="HelveticaNeueLT Std" w:cs="Arial"/>
                <w:color w:val="000000"/>
                <w:sz w:val="22"/>
                <w:szCs w:val="22"/>
              </w:rPr>
              <w:t>240,532</w:t>
            </w:r>
          </w:p>
        </w:tc>
        <w:tc>
          <w:tcPr>
            <w:tcW w:w="1706" w:type="dxa"/>
            <w:vAlign w:val="bottom"/>
          </w:tcPr>
          <w:p w:rsidR="00494BF8" w:rsidRDefault="007D3D47">
            <w:pPr>
              <w:jc w:val="right"/>
              <w:rPr>
                <w:rFonts w:ascii="HelveticaNeueLT Std" w:hAnsi="HelveticaNeueLT Std" w:cs="Arial"/>
                <w:sz w:val="20"/>
                <w:szCs w:val="20"/>
              </w:rPr>
            </w:pPr>
            <w:r>
              <w:rPr>
                <w:rFonts w:ascii="HelveticaNeueLT Std" w:hAnsi="HelveticaNeueLT Std" w:cs="Arial"/>
                <w:sz w:val="20"/>
                <w:szCs w:val="20"/>
              </w:rPr>
              <w:t>10,000</w:t>
            </w:r>
          </w:p>
        </w:tc>
      </w:tr>
      <w:tr w:rsidR="00494BF8" w:rsidRPr="008408C1" w:rsidTr="007A5295">
        <w:trPr>
          <w:trHeight w:val="288"/>
        </w:trPr>
        <w:tc>
          <w:tcPr>
            <w:tcW w:w="2943" w:type="dxa"/>
            <w:noWrap/>
          </w:tcPr>
          <w:p w:rsidR="00494BF8" w:rsidRPr="007B09F5" w:rsidRDefault="00494BF8" w:rsidP="00130625">
            <w:pPr>
              <w:rPr>
                <w:rFonts w:eastAsia="Times New Roman" w:cs="Arial"/>
                <w:color w:val="000000"/>
                <w:sz w:val="22"/>
                <w:szCs w:val="22"/>
                <w:lang w:val="en-CA" w:eastAsia="en-CA"/>
              </w:rPr>
            </w:pPr>
            <w:r w:rsidRPr="007B09F5">
              <w:rPr>
                <w:rFonts w:eastAsia="Times New Roman" w:cs="Arial"/>
                <w:color w:val="000000"/>
                <w:sz w:val="22"/>
                <w:szCs w:val="22"/>
                <w:lang w:val="en-CA" w:eastAsia="en-CA"/>
              </w:rPr>
              <w:t>Intelligent Community</w:t>
            </w:r>
          </w:p>
        </w:tc>
        <w:tc>
          <w:tcPr>
            <w:tcW w:w="1560"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216,000</w:t>
            </w:r>
          </w:p>
        </w:tc>
        <w:tc>
          <w:tcPr>
            <w:tcW w:w="1842"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180,010</w:t>
            </w:r>
          </w:p>
        </w:tc>
        <w:tc>
          <w:tcPr>
            <w:tcW w:w="1843" w:type="dxa"/>
            <w:vAlign w:val="bottom"/>
          </w:tcPr>
          <w:p w:rsidR="00494BF8" w:rsidRDefault="00494BF8">
            <w:pPr>
              <w:jc w:val="right"/>
              <w:rPr>
                <w:rFonts w:ascii="HelveticaNeueLT Std" w:hAnsi="HelveticaNeueLT Std" w:cs="Arial"/>
                <w:color w:val="000000"/>
                <w:sz w:val="22"/>
                <w:szCs w:val="22"/>
              </w:rPr>
            </w:pPr>
            <w:r>
              <w:rPr>
                <w:rFonts w:ascii="HelveticaNeueLT Std" w:hAnsi="HelveticaNeueLT Std" w:cs="Arial"/>
                <w:color w:val="000000"/>
                <w:sz w:val="22"/>
                <w:szCs w:val="22"/>
              </w:rPr>
              <w:t>102,711</w:t>
            </w:r>
          </w:p>
        </w:tc>
        <w:tc>
          <w:tcPr>
            <w:tcW w:w="1706" w:type="dxa"/>
            <w:vAlign w:val="bottom"/>
          </w:tcPr>
          <w:p w:rsidR="00494BF8" w:rsidRPr="001C5E5C" w:rsidRDefault="00D74DBD">
            <w:pPr>
              <w:jc w:val="right"/>
              <w:rPr>
                <w:rFonts w:ascii="HelveticaNeueLT Std" w:hAnsi="HelveticaNeueLT Std" w:cs="Arial"/>
                <w:sz w:val="20"/>
                <w:szCs w:val="20"/>
                <w:highlight w:val="yellow"/>
              </w:rPr>
            </w:pPr>
            <w:r>
              <w:rPr>
                <w:rFonts w:ascii="HelveticaNeueLT Std" w:hAnsi="HelveticaNeueLT Std" w:cs="Arial"/>
                <w:sz w:val="20"/>
                <w:szCs w:val="20"/>
              </w:rPr>
              <w:t>0</w:t>
            </w:r>
          </w:p>
        </w:tc>
      </w:tr>
      <w:tr w:rsidR="00494BF8" w:rsidRPr="008408C1" w:rsidTr="007A5295">
        <w:trPr>
          <w:trHeight w:val="288"/>
        </w:trPr>
        <w:tc>
          <w:tcPr>
            <w:tcW w:w="2943" w:type="dxa"/>
            <w:noWrap/>
            <w:hideMark/>
          </w:tcPr>
          <w:p w:rsidR="00494BF8" w:rsidRPr="007B09F5" w:rsidRDefault="00494BF8" w:rsidP="00130625">
            <w:pPr>
              <w:rPr>
                <w:rFonts w:eastAsia="Times New Roman" w:cs="Arial"/>
                <w:color w:val="000000"/>
                <w:sz w:val="22"/>
                <w:szCs w:val="22"/>
                <w:lang w:val="en-CA" w:eastAsia="en-CA"/>
              </w:rPr>
            </w:pPr>
            <w:r w:rsidRPr="007B09F5">
              <w:rPr>
                <w:rFonts w:eastAsia="Times New Roman" w:cs="Arial"/>
                <w:color w:val="000000"/>
                <w:sz w:val="22"/>
                <w:szCs w:val="22"/>
                <w:lang w:val="en-CA" w:eastAsia="en-CA"/>
              </w:rPr>
              <w:t>Grey Roots - Operating</w:t>
            </w:r>
          </w:p>
        </w:tc>
        <w:tc>
          <w:tcPr>
            <w:tcW w:w="1560"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1,762,756</w:t>
            </w:r>
          </w:p>
        </w:tc>
        <w:tc>
          <w:tcPr>
            <w:tcW w:w="1842"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1,469,020</w:t>
            </w:r>
          </w:p>
        </w:tc>
        <w:tc>
          <w:tcPr>
            <w:tcW w:w="1843" w:type="dxa"/>
            <w:vAlign w:val="bottom"/>
          </w:tcPr>
          <w:p w:rsidR="00494BF8" w:rsidRDefault="00494BF8">
            <w:pPr>
              <w:jc w:val="right"/>
              <w:rPr>
                <w:rFonts w:ascii="HelveticaNeueLT Std" w:hAnsi="HelveticaNeueLT Std" w:cs="Arial"/>
                <w:color w:val="000000"/>
                <w:sz w:val="22"/>
                <w:szCs w:val="22"/>
              </w:rPr>
            </w:pPr>
            <w:r>
              <w:rPr>
                <w:rFonts w:ascii="HelveticaNeueLT Std" w:hAnsi="HelveticaNeueLT Std" w:cs="Arial"/>
                <w:color w:val="000000"/>
                <w:sz w:val="22"/>
                <w:szCs w:val="22"/>
              </w:rPr>
              <w:t>1,350,908</w:t>
            </w:r>
          </w:p>
        </w:tc>
        <w:tc>
          <w:tcPr>
            <w:tcW w:w="1706" w:type="dxa"/>
            <w:vAlign w:val="bottom"/>
          </w:tcPr>
          <w:p w:rsidR="00494BF8" w:rsidRDefault="00257ED1">
            <w:pPr>
              <w:jc w:val="right"/>
              <w:rPr>
                <w:rFonts w:ascii="HelveticaNeueLT Std" w:hAnsi="HelveticaNeueLT Std" w:cs="Arial"/>
                <w:sz w:val="20"/>
                <w:szCs w:val="20"/>
              </w:rPr>
            </w:pPr>
            <w:r>
              <w:rPr>
                <w:rFonts w:ascii="HelveticaNeueLT Std" w:hAnsi="HelveticaNeueLT Std" w:cs="Arial"/>
                <w:sz w:val="20"/>
                <w:szCs w:val="20"/>
              </w:rPr>
              <w:t>11,000</w:t>
            </w:r>
          </w:p>
        </w:tc>
      </w:tr>
      <w:tr w:rsidR="00494BF8" w:rsidRPr="008408C1" w:rsidTr="007A5295">
        <w:trPr>
          <w:trHeight w:val="288"/>
        </w:trPr>
        <w:tc>
          <w:tcPr>
            <w:tcW w:w="2943" w:type="dxa"/>
            <w:noWrap/>
            <w:hideMark/>
          </w:tcPr>
          <w:p w:rsidR="00494BF8" w:rsidRPr="007B09F5" w:rsidRDefault="00494BF8" w:rsidP="00130625">
            <w:pPr>
              <w:rPr>
                <w:rFonts w:eastAsia="Times New Roman" w:cs="Arial"/>
                <w:color w:val="000000"/>
                <w:sz w:val="22"/>
                <w:szCs w:val="22"/>
                <w:lang w:val="en-CA" w:eastAsia="en-CA"/>
              </w:rPr>
            </w:pPr>
            <w:r w:rsidRPr="007B09F5">
              <w:rPr>
                <w:rFonts w:eastAsia="Times New Roman" w:cs="Arial"/>
                <w:color w:val="000000"/>
                <w:sz w:val="22"/>
                <w:szCs w:val="22"/>
                <w:lang w:val="en-CA" w:eastAsia="en-CA"/>
              </w:rPr>
              <w:t>Grey Roots - Capital</w:t>
            </w:r>
          </w:p>
        </w:tc>
        <w:tc>
          <w:tcPr>
            <w:tcW w:w="1560"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310,700</w:t>
            </w:r>
          </w:p>
        </w:tc>
        <w:tc>
          <w:tcPr>
            <w:tcW w:w="1842" w:type="dxa"/>
            <w:noWrap/>
            <w:vAlign w:val="bottom"/>
          </w:tcPr>
          <w:p w:rsidR="00494BF8" w:rsidRDefault="00494BF8">
            <w:pPr>
              <w:jc w:val="right"/>
              <w:rPr>
                <w:rFonts w:ascii="HelveticaNeueLT Std" w:hAnsi="HelveticaNeueLT Std" w:cs="Arial"/>
                <w:sz w:val="20"/>
                <w:szCs w:val="20"/>
              </w:rPr>
            </w:pPr>
            <w:r>
              <w:rPr>
                <w:rFonts w:ascii="HelveticaNeueLT Std" w:hAnsi="HelveticaNeueLT Std" w:cs="Arial"/>
                <w:sz w:val="20"/>
                <w:szCs w:val="20"/>
              </w:rPr>
              <w:t>258,930</w:t>
            </w:r>
          </w:p>
        </w:tc>
        <w:tc>
          <w:tcPr>
            <w:tcW w:w="1843" w:type="dxa"/>
            <w:vAlign w:val="bottom"/>
          </w:tcPr>
          <w:p w:rsidR="00494BF8" w:rsidRDefault="00494BF8">
            <w:pPr>
              <w:jc w:val="right"/>
              <w:rPr>
                <w:rFonts w:ascii="HelveticaNeueLT Std" w:hAnsi="HelveticaNeueLT Std" w:cs="Arial"/>
                <w:color w:val="000000"/>
                <w:sz w:val="22"/>
                <w:szCs w:val="22"/>
              </w:rPr>
            </w:pPr>
            <w:r>
              <w:rPr>
                <w:rFonts w:ascii="HelveticaNeueLT Std" w:hAnsi="HelveticaNeueLT Std" w:cs="Arial"/>
                <w:color w:val="000000"/>
                <w:sz w:val="22"/>
                <w:szCs w:val="22"/>
              </w:rPr>
              <w:t>114,559</w:t>
            </w:r>
          </w:p>
        </w:tc>
        <w:tc>
          <w:tcPr>
            <w:tcW w:w="1706" w:type="dxa"/>
            <w:vAlign w:val="bottom"/>
          </w:tcPr>
          <w:p w:rsidR="00494BF8" w:rsidRDefault="00257ED1" w:rsidP="00E85762">
            <w:pPr>
              <w:jc w:val="right"/>
              <w:rPr>
                <w:rFonts w:ascii="HelveticaNeueLT Std" w:hAnsi="HelveticaNeueLT Std" w:cs="Arial"/>
                <w:sz w:val="20"/>
                <w:szCs w:val="20"/>
              </w:rPr>
            </w:pPr>
            <w:r>
              <w:rPr>
                <w:rFonts w:ascii="HelveticaNeueLT Std" w:hAnsi="HelveticaNeueLT Std" w:cs="Arial"/>
                <w:sz w:val="20"/>
                <w:szCs w:val="20"/>
              </w:rPr>
              <w:t>3</w:t>
            </w:r>
            <w:r w:rsidR="00E85762">
              <w:rPr>
                <w:rFonts w:ascii="HelveticaNeueLT Std" w:hAnsi="HelveticaNeueLT Std" w:cs="Arial"/>
                <w:sz w:val="20"/>
                <w:szCs w:val="20"/>
              </w:rPr>
              <w:t>0</w:t>
            </w:r>
            <w:r>
              <w:rPr>
                <w:rFonts w:ascii="HelveticaNeueLT Std" w:hAnsi="HelveticaNeueLT Std" w:cs="Arial"/>
                <w:sz w:val="20"/>
                <w:szCs w:val="20"/>
              </w:rPr>
              <w:t>,000</w:t>
            </w:r>
          </w:p>
        </w:tc>
      </w:tr>
      <w:tr w:rsidR="00494BF8" w:rsidRPr="00C70272" w:rsidTr="007A5295">
        <w:trPr>
          <w:trHeight w:val="58"/>
        </w:trPr>
        <w:tc>
          <w:tcPr>
            <w:tcW w:w="2943" w:type="dxa"/>
            <w:noWrap/>
            <w:hideMark/>
          </w:tcPr>
          <w:p w:rsidR="00494BF8" w:rsidRPr="007B09F5" w:rsidRDefault="00494BF8" w:rsidP="00130625">
            <w:pPr>
              <w:rPr>
                <w:rFonts w:eastAsia="Times New Roman" w:cs="Arial"/>
                <w:b/>
                <w:color w:val="000000"/>
                <w:sz w:val="22"/>
                <w:szCs w:val="22"/>
                <w:lang w:val="en-CA" w:eastAsia="en-CA"/>
              </w:rPr>
            </w:pPr>
            <w:r w:rsidRPr="007B09F5">
              <w:rPr>
                <w:rFonts w:eastAsia="Times New Roman" w:cs="Arial"/>
                <w:color w:val="000000"/>
                <w:sz w:val="22"/>
                <w:szCs w:val="22"/>
                <w:lang w:val="en-CA" w:eastAsia="en-CA"/>
              </w:rPr>
              <w:t xml:space="preserve"> </w:t>
            </w:r>
            <w:r w:rsidRPr="007B09F5">
              <w:rPr>
                <w:rFonts w:eastAsia="Times New Roman" w:cs="Arial"/>
                <w:b/>
                <w:color w:val="000000"/>
                <w:sz w:val="22"/>
                <w:szCs w:val="22"/>
                <w:lang w:val="en-CA" w:eastAsia="en-CA"/>
              </w:rPr>
              <w:t xml:space="preserve">TOTAL </w:t>
            </w:r>
          </w:p>
        </w:tc>
        <w:tc>
          <w:tcPr>
            <w:tcW w:w="1560" w:type="dxa"/>
            <w:noWrap/>
            <w:vAlign w:val="bottom"/>
          </w:tcPr>
          <w:p w:rsidR="00494BF8" w:rsidRDefault="00494BF8">
            <w:pPr>
              <w:jc w:val="right"/>
              <w:rPr>
                <w:rFonts w:ascii="HelveticaNeueLT Std" w:hAnsi="HelveticaNeueLT Std" w:cs="Arial"/>
                <w:b/>
                <w:bCs/>
                <w:sz w:val="20"/>
                <w:szCs w:val="20"/>
              </w:rPr>
            </w:pPr>
            <w:r>
              <w:rPr>
                <w:rFonts w:ascii="HelveticaNeueLT Std" w:hAnsi="HelveticaNeueLT Std" w:cs="Arial"/>
                <w:b/>
                <w:bCs/>
                <w:sz w:val="20"/>
                <w:szCs w:val="20"/>
              </w:rPr>
              <w:t>4,017,148</w:t>
            </w:r>
          </w:p>
        </w:tc>
        <w:tc>
          <w:tcPr>
            <w:tcW w:w="1842" w:type="dxa"/>
            <w:noWrap/>
            <w:vAlign w:val="bottom"/>
          </w:tcPr>
          <w:p w:rsidR="00494BF8" w:rsidRDefault="00494BF8">
            <w:pPr>
              <w:jc w:val="right"/>
              <w:rPr>
                <w:rFonts w:ascii="HelveticaNeueLT Std" w:hAnsi="HelveticaNeueLT Std" w:cs="Arial"/>
                <w:b/>
                <w:bCs/>
                <w:sz w:val="20"/>
                <w:szCs w:val="20"/>
              </w:rPr>
            </w:pPr>
            <w:r>
              <w:rPr>
                <w:rFonts w:ascii="HelveticaNeueLT Std" w:hAnsi="HelveticaNeueLT Std" w:cs="Arial"/>
                <w:b/>
                <w:bCs/>
                <w:sz w:val="20"/>
                <w:szCs w:val="20"/>
              </w:rPr>
              <w:t>3,347,740</w:t>
            </w:r>
          </w:p>
        </w:tc>
        <w:tc>
          <w:tcPr>
            <w:tcW w:w="1843" w:type="dxa"/>
            <w:vAlign w:val="bottom"/>
          </w:tcPr>
          <w:p w:rsidR="00494BF8" w:rsidRDefault="00494BF8">
            <w:pPr>
              <w:jc w:val="right"/>
              <w:rPr>
                <w:rFonts w:ascii="HelveticaNeueLT Std" w:hAnsi="HelveticaNeueLT Std" w:cs="Arial"/>
                <w:b/>
                <w:bCs/>
                <w:sz w:val="20"/>
                <w:szCs w:val="20"/>
              </w:rPr>
            </w:pPr>
            <w:r>
              <w:rPr>
                <w:rFonts w:ascii="HelveticaNeueLT Std" w:hAnsi="HelveticaNeueLT Std" w:cs="Arial"/>
                <w:b/>
                <w:bCs/>
                <w:sz w:val="20"/>
                <w:szCs w:val="20"/>
              </w:rPr>
              <w:t>2,630,697</w:t>
            </w:r>
          </w:p>
        </w:tc>
        <w:tc>
          <w:tcPr>
            <w:tcW w:w="1706" w:type="dxa"/>
            <w:vAlign w:val="bottom"/>
          </w:tcPr>
          <w:p w:rsidR="00494BF8" w:rsidRDefault="00D74DBD">
            <w:pPr>
              <w:jc w:val="right"/>
              <w:rPr>
                <w:rFonts w:ascii="HelveticaNeueLT Std" w:hAnsi="HelveticaNeueLT Std" w:cs="Arial"/>
                <w:b/>
                <w:bCs/>
                <w:sz w:val="20"/>
                <w:szCs w:val="20"/>
              </w:rPr>
            </w:pPr>
            <w:r>
              <w:rPr>
                <w:rFonts w:ascii="HelveticaNeueLT Std" w:hAnsi="HelveticaNeueLT Std" w:cs="Arial"/>
                <w:b/>
                <w:bCs/>
                <w:sz w:val="20"/>
                <w:szCs w:val="20"/>
              </w:rPr>
              <w:t>283,500</w:t>
            </w:r>
          </w:p>
        </w:tc>
      </w:tr>
    </w:tbl>
    <w:p w:rsidR="00261613" w:rsidRDefault="00261613" w:rsidP="00261613">
      <w:pPr>
        <w:pStyle w:val="Heading3"/>
      </w:pPr>
      <w:r>
        <w:t>Planning</w:t>
      </w:r>
    </w:p>
    <w:p w:rsidR="00261613" w:rsidRPr="00784010" w:rsidRDefault="00261613" w:rsidP="00261613">
      <w:r w:rsidRPr="00784010">
        <w:t xml:space="preserve">The Planning Operating and Capital budgets are currently </w:t>
      </w:r>
      <w:r>
        <w:t>showing a surplus compared to year-to-date budgeted amount which is primarily a result of higher than anticipated revenue from applications with some subdivision applications being submitted in the final quarter.</w:t>
      </w:r>
      <w:r w:rsidR="0048025B">
        <w:t xml:space="preserve">  At this stage it is anticipated that the Planning Operating budget will have a surplus of approximately $1</w:t>
      </w:r>
      <w:r w:rsidR="00EA6144">
        <w:t>0</w:t>
      </w:r>
      <w:r w:rsidR="0048025B">
        <w:t>,000.</w:t>
      </w:r>
    </w:p>
    <w:p w:rsidR="00261613" w:rsidRPr="00784010" w:rsidRDefault="00261613" w:rsidP="00261613">
      <w:pPr>
        <w:pStyle w:val="Heading3"/>
      </w:pPr>
      <w:r w:rsidRPr="00784010">
        <w:t>Agriculture</w:t>
      </w:r>
    </w:p>
    <w:p w:rsidR="00261613" w:rsidRDefault="00261613" w:rsidP="00261613">
      <w:r w:rsidRPr="00784010">
        <w:t xml:space="preserve">The Agriculture budget is currently on track compared to the year-to-date budgeted amount.  Beaver and coyote claims are currently lower than the budgeted </w:t>
      </w:r>
      <w:proofErr w:type="gramStart"/>
      <w:r w:rsidRPr="00784010">
        <w:t>amount,</w:t>
      </w:r>
      <w:proofErr w:type="gramEnd"/>
      <w:r w:rsidRPr="00784010">
        <w:t xml:space="preserve"> however</w:t>
      </w:r>
      <w:r w:rsidR="001C5E5C">
        <w:t xml:space="preserve"> the</w:t>
      </w:r>
      <w:r w:rsidRPr="00784010">
        <w:t xml:space="preserve"> majority of the claims tend to </w:t>
      </w:r>
      <w:r w:rsidR="001C5E5C">
        <w:t xml:space="preserve">be </w:t>
      </w:r>
      <w:r w:rsidRPr="00784010">
        <w:t>submitted towards the end of the calendar year.  It is anticipated that there will be a surplus in the Agriculture budget of approximately</w:t>
      </w:r>
      <w:r>
        <w:t xml:space="preserve"> $17,500.</w:t>
      </w:r>
    </w:p>
    <w:p w:rsidR="00261613" w:rsidRDefault="00261613" w:rsidP="00261613">
      <w:pPr>
        <w:pStyle w:val="Heading3"/>
      </w:pPr>
      <w:r>
        <w:lastRenderedPageBreak/>
        <w:t>Forestry</w:t>
      </w:r>
    </w:p>
    <w:p w:rsidR="00261613" w:rsidRDefault="00261613" w:rsidP="00261613">
      <w:r>
        <w:t xml:space="preserve">The Forestry budget is showing a surplus compared to the year-to-date budgeted amount which is a result of the higher than anticipated revenue from the County forest harvests.  </w:t>
      </w:r>
      <w:r w:rsidRPr="00784010">
        <w:t>At this stage it is anticipated that the Forestry budget will have a surplus of approximately $170,000 at year end.</w:t>
      </w:r>
    </w:p>
    <w:p w:rsidR="00261613" w:rsidRDefault="00261613" w:rsidP="00261613">
      <w:pPr>
        <w:pStyle w:val="Heading3"/>
      </w:pPr>
      <w:r>
        <w:t>Trails</w:t>
      </w:r>
    </w:p>
    <w:p w:rsidR="000C614C" w:rsidRDefault="00261613" w:rsidP="00261613">
      <w:r>
        <w:t>The Trails Operating and Capital budgets are currently showing a surplus.  Due to unexpected contract staff shortages, certain projects will not be completed this year and therefore some of these projects have been carried over in the approved 2016 budget.</w:t>
      </w:r>
    </w:p>
    <w:p w:rsidR="00261613" w:rsidRDefault="00261613" w:rsidP="00261613">
      <w:r>
        <w:t xml:space="preserve">The County has partnered with the </w:t>
      </w:r>
      <w:proofErr w:type="spellStart"/>
      <w:r>
        <w:t>Dufferin</w:t>
      </w:r>
      <w:proofErr w:type="spellEnd"/>
      <w:r>
        <w:t xml:space="preserve"> Grey ATV Club and the Ontario Federation of Snowmobile Club – District 9 on two separate projects on the CP Rail Trail.  The DGATV project is replacing 21 trail gates on the CP Rail Trail all funded by grant funds received by the DGATV Club.  The OFSC project involves trail brushing a total of 46 </w:t>
      </w:r>
      <w:proofErr w:type="spellStart"/>
      <w:r>
        <w:t>kilometres</w:t>
      </w:r>
      <w:proofErr w:type="spellEnd"/>
      <w:r>
        <w:t xml:space="preserve"> on the CP Rail Trail.  Both projects </w:t>
      </w:r>
      <w:r w:rsidR="00EA6144">
        <w:t>have primarily been completed</w:t>
      </w:r>
      <w:r w:rsidR="000C614C">
        <w:t>.</w:t>
      </w:r>
      <w:r>
        <w:t xml:space="preserve">  </w:t>
      </w:r>
    </w:p>
    <w:p w:rsidR="00261613" w:rsidRDefault="00261613" w:rsidP="0030251E">
      <w:r w:rsidRPr="00784010">
        <w:t>At this stage it is anticipated that there will be a total surplus of approximately $</w:t>
      </w:r>
      <w:r>
        <w:t>35</w:t>
      </w:r>
      <w:r w:rsidRPr="00784010">
        <w:t>,000 for the Forest Trails budget, the CP Trails Operating and the CP Trail Capital budgets with $30,000 proposed to be carried over in the 2016 budget.</w:t>
      </w:r>
      <w:r w:rsidR="007D3D47">
        <w:t xml:space="preserve">  </w:t>
      </w:r>
    </w:p>
    <w:p w:rsidR="00675461" w:rsidRDefault="00675461" w:rsidP="00675461">
      <w:pPr>
        <w:pStyle w:val="Heading3"/>
      </w:pPr>
      <w:r>
        <w:t>Tourism</w:t>
      </w:r>
    </w:p>
    <w:p w:rsidR="007D3D47" w:rsidRPr="007D3D47" w:rsidRDefault="00294F08" w:rsidP="007D3D47">
      <w:r>
        <w:t>Tourism will also end the year with a balanced budget.  In addition, as a result of leveraging funding from RTO7 for the update of the Destination Development Action Plan and the Wayfinding Signage Plan, the amount required to be utilized from the Tourism Reserve and the One Time Reserve will be much less</w:t>
      </w:r>
      <w:r w:rsidR="00B32853">
        <w:t xml:space="preserve"> than anticipated in the 2015 budget</w:t>
      </w:r>
      <w:r>
        <w:t>.</w:t>
      </w:r>
    </w:p>
    <w:p w:rsidR="00675461" w:rsidRDefault="00675461" w:rsidP="00675461">
      <w:pPr>
        <w:pStyle w:val="Heading3"/>
      </w:pPr>
      <w:r>
        <w:t>Economic Development</w:t>
      </w:r>
    </w:p>
    <w:p w:rsidR="007D3D47" w:rsidRPr="007D3D47" w:rsidRDefault="007D3D47" w:rsidP="007D3D47">
      <w:r>
        <w:t xml:space="preserve">It is anticipated that the Economic Development budget will end the year with a small surplus of $5,000 to $10,000.  There are some </w:t>
      </w:r>
      <w:proofErr w:type="gramStart"/>
      <w:r>
        <w:t>expenditures</w:t>
      </w:r>
      <w:proofErr w:type="gramEnd"/>
      <w:r>
        <w:t xml:space="preserve"> yet to be posted and a budget</w:t>
      </w:r>
      <w:r w:rsidR="001C5E5C">
        <w:t>ed</w:t>
      </w:r>
      <w:r>
        <w:t xml:space="preserve"> transfer to reserve to be made which will reduce what appears to be a larger surplus than foreca</w:t>
      </w:r>
      <w:r w:rsidR="001C5E5C">
        <w:t>s</w:t>
      </w:r>
      <w:r>
        <w:t>t.</w:t>
      </w:r>
    </w:p>
    <w:p w:rsidR="00675461" w:rsidRDefault="00675461" w:rsidP="00675461">
      <w:pPr>
        <w:pStyle w:val="Heading3"/>
      </w:pPr>
      <w:r>
        <w:t>Intelligent Community</w:t>
      </w:r>
    </w:p>
    <w:p w:rsidR="001A19F4" w:rsidRPr="001A19F4" w:rsidRDefault="001A19F4" w:rsidP="001A19F4">
      <w:r>
        <w:t xml:space="preserve">Council budgeted $216,000 to the Western Ontario Warden’s Caucus SWIFT project in 2015.  The Caucus only requested a $20,000 to cover expenses because there has still not been a funding announcement from the Federal and Provincial governments.  If the </w:t>
      </w:r>
      <w:r>
        <w:lastRenderedPageBreak/>
        <w:t>project is funded the balance of $196,000 will be required in the future.  It is recommended that the $196,000 surplus be transferred to a reserve for SWIFT.</w:t>
      </w:r>
    </w:p>
    <w:p w:rsidR="00675461" w:rsidRDefault="00675461" w:rsidP="00675461">
      <w:pPr>
        <w:pStyle w:val="Heading3"/>
      </w:pPr>
      <w:r>
        <w:t>Grey Roots</w:t>
      </w:r>
    </w:p>
    <w:p w:rsidR="00E85762" w:rsidRDefault="00E85762" w:rsidP="00E85762">
      <w:r>
        <w:t xml:space="preserve">As reported at the November Committee meeting, Grey Roots will end the year </w:t>
      </w:r>
      <w:r w:rsidR="001C5E5C">
        <w:t>with</w:t>
      </w:r>
      <w:r>
        <w:t xml:space="preserve"> a </w:t>
      </w:r>
      <w:r w:rsidR="001C5E5C">
        <w:t xml:space="preserve">surplus for the </w:t>
      </w:r>
      <w:r>
        <w:t>combined operating and capital budget</w:t>
      </w:r>
      <w:r w:rsidR="001C5E5C">
        <w:t>s</w:t>
      </w:r>
      <w:r>
        <w:t xml:space="preserve"> of approximately $41,000, after transferring to reserve $4</w:t>
      </w:r>
      <w:r w:rsidR="001C5E5C">
        <w:t>8,60</w:t>
      </w:r>
      <w:r>
        <w:t>0 for Grey County gallery updates</w:t>
      </w:r>
      <w:r w:rsidR="001C5E5C">
        <w:t xml:space="preserve"> and $16,500 for the digital museum project</w:t>
      </w:r>
      <w:r>
        <w:t xml:space="preserve"> which did not transpire in 2015.  This has been brought forward to the 2016 budget.</w:t>
      </w:r>
    </w:p>
    <w:p w:rsidR="00E85762" w:rsidRPr="00E85762" w:rsidRDefault="00E85762" w:rsidP="00E85762">
      <w:r>
        <w:t>The key drivers of the surplus continue to be savings in building maintenance costs through tight budget control and increased revenue in most areas of admissions.  The surplus has been offset by some staff organizational costs.</w:t>
      </w:r>
    </w:p>
    <w:p w:rsidR="0030251E" w:rsidRPr="00217518" w:rsidRDefault="0030251E" w:rsidP="0030251E">
      <w:pPr>
        <w:pStyle w:val="Heading3"/>
      </w:pPr>
      <w:r>
        <w:t>Recommendations for Distribution of Surplus/Funding of Deficits</w:t>
      </w:r>
    </w:p>
    <w:p w:rsidR="0030251E" w:rsidRPr="0048025B" w:rsidRDefault="0030251E" w:rsidP="0048025B">
      <w:r w:rsidRPr="0048025B">
        <w:t xml:space="preserve">The following are the recommendations for the distribution </w:t>
      </w:r>
      <w:r w:rsidR="00EA6144">
        <w:t>of</w:t>
      </w:r>
      <w:r w:rsidRPr="0048025B">
        <w:t xml:space="preserve"> surplus funds or the funding of any deficits:</w:t>
      </w:r>
    </w:p>
    <w:p w:rsidR="0030251E" w:rsidRPr="00EA6144" w:rsidRDefault="0030251E" w:rsidP="0048025B">
      <w:pPr>
        <w:pStyle w:val="ListParagraph"/>
        <w:numPr>
          <w:ilvl w:val="0"/>
          <w:numId w:val="6"/>
        </w:numPr>
      </w:pPr>
      <w:r w:rsidRPr="00EA6144">
        <w:t>That the projected surplus from the Planning Operating and Agriculture budgets be allocated to the Planning Studies Reserve to assist with the funding of future planning related studies;</w:t>
      </w:r>
    </w:p>
    <w:p w:rsidR="0030251E" w:rsidRPr="00EA6144" w:rsidRDefault="0030251E" w:rsidP="0048025B">
      <w:pPr>
        <w:pStyle w:val="ListParagraph"/>
        <w:numPr>
          <w:ilvl w:val="0"/>
          <w:numId w:val="6"/>
        </w:numPr>
      </w:pPr>
      <w:r w:rsidRPr="00EA6144">
        <w:t>That the surplus in the Forestry and Trail budgets be allocated by transferring $30,000 to the Forestry Trails Reserve to fund the forestry trail project carried over in the 2016 budget and to assist with the funding of the St. Vincent Accessible Trail project which will also be completed in 2016;</w:t>
      </w:r>
    </w:p>
    <w:p w:rsidR="0030251E" w:rsidRDefault="0030251E" w:rsidP="0048025B">
      <w:pPr>
        <w:pStyle w:val="ListParagraph"/>
        <w:numPr>
          <w:ilvl w:val="0"/>
          <w:numId w:val="6"/>
        </w:numPr>
      </w:pPr>
      <w:r w:rsidRPr="00EA6144">
        <w:t xml:space="preserve">That any remaining surplus from the Forestry and Trail budgets be allocated to the </w:t>
      </w:r>
      <w:r w:rsidR="00675461" w:rsidRPr="00EA6144">
        <w:t>One Time Funding reserve for future corporate needs</w:t>
      </w:r>
      <w:r w:rsidRPr="00EA6144">
        <w:t xml:space="preserve">; </w:t>
      </w:r>
    </w:p>
    <w:p w:rsidR="00CE59D7" w:rsidRPr="00EA6144" w:rsidRDefault="00CE59D7" w:rsidP="0048025B">
      <w:pPr>
        <w:pStyle w:val="ListParagraph"/>
        <w:numPr>
          <w:ilvl w:val="0"/>
          <w:numId w:val="6"/>
        </w:numPr>
      </w:pPr>
      <w:r>
        <w:t>That $2,000 that was recently donated specifically for the Archives be transferred to a reserve for the Archives;</w:t>
      </w:r>
    </w:p>
    <w:p w:rsidR="00B32853" w:rsidRPr="00EA6144" w:rsidRDefault="00B32853" w:rsidP="0048025B">
      <w:pPr>
        <w:pStyle w:val="ListParagraph"/>
        <w:numPr>
          <w:ilvl w:val="0"/>
          <w:numId w:val="6"/>
        </w:numPr>
      </w:pPr>
      <w:r w:rsidRPr="00EA6144">
        <w:t>That $</w:t>
      </w:r>
      <w:r w:rsidR="00F872C3">
        <w:t>48,600</w:t>
      </w:r>
      <w:r w:rsidR="001C5E5C">
        <w:t xml:space="preserve"> from the Grey Roots’ surplus</w:t>
      </w:r>
      <w:r w:rsidRPr="00EA6144">
        <w:t xml:space="preserve"> be transferred to the Grey Roots’ </w:t>
      </w:r>
      <w:r w:rsidR="00F872C3">
        <w:t>Grey County Gallery</w:t>
      </w:r>
      <w:r w:rsidRPr="00EA6144">
        <w:t xml:space="preserve"> Reserve for work on the Grey County Gallery in 2016</w:t>
      </w:r>
      <w:r w:rsidR="001C5E5C">
        <w:t xml:space="preserve"> and $16,500 </w:t>
      </w:r>
      <w:r w:rsidR="00F872C3">
        <w:t xml:space="preserve">to reserve </w:t>
      </w:r>
      <w:r w:rsidR="001C5E5C">
        <w:t>for the digital museum</w:t>
      </w:r>
      <w:r w:rsidR="00997B38">
        <w:t>/web redevelopment</w:t>
      </w:r>
      <w:r w:rsidR="001C5E5C">
        <w:t xml:space="preserve"> project and;</w:t>
      </w:r>
    </w:p>
    <w:p w:rsidR="00675461" w:rsidRDefault="0030251E" w:rsidP="0048025B">
      <w:pPr>
        <w:pStyle w:val="ListParagraph"/>
        <w:numPr>
          <w:ilvl w:val="0"/>
          <w:numId w:val="6"/>
        </w:numPr>
      </w:pPr>
      <w:r w:rsidRPr="0048025B">
        <w:t>That any remaining surplus</w:t>
      </w:r>
      <w:r w:rsidR="00675461">
        <w:t>/deficits of the remaining budg</w:t>
      </w:r>
      <w:r w:rsidR="00B32853">
        <w:t>e</w:t>
      </w:r>
      <w:r w:rsidR="00675461">
        <w:t xml:space="preserve">ts under the care and control of the Planning and Community Development Committee </w:t>
      </w:r>
      <w:proofErr w:type="gramStart"/>
      <w:r w:rsidR="00675461">
        <w:t>be</w:t>
      </w:r>
      <w:proofErr w:type="gramEnd"/>
      <w:r w:rsidR="00675461">
        <w:t xml:space="preserve"> allocated/funded from their respective reserves.</w:t>
      </w:r>
    </w:p>
    <w:p w:rsidR="00AC3A8B" w:rsidRPr="00B0378D" w:rsidRDefault="00AC3A8B" w:rsidP="00AC3A8B">
      <w:pPr>
        <w:pStyle w:val="Heading2"/>
        <w:rPr>
          <w:b/>
        </w:rPr>
      </w:pPr>
      <w:r w:rsidRPr="00B0378D">
        <w:t>Financial / Staffing / Legal / Information Technology Considerations</w:t>
      </w:r>
    </w:p>
    <w:p w:rsidR="006C09B5" w:rsidRDefault="00EA2942" w:rsidP="00AC3A8B">
      <w:r>
        <w:t xml:space="preserve">There are no staffing, legal or information technology considerations related to this report.  </w:t>
      </w:r>
      <w:r w:rsidR="008B5A69">
        <w:t>Based on</w:t>
      </w:r>
      <w:r>
        <w:t xml:space="preserve"> year-to-date amounts, it is anticipated that</w:t>
      </w:r>
      <w:r w:rsidR="008B5A69">
        <w:t xml:space="preserve"> the budgets under</w:t>
      </w:r>
      <w:r w:rsidR="006C09B5">
        <w:t xml:space="preserve"> the</w:t>
      </w:r>
      <w:r w:rsidR="008B5A69">
        <w:t xml:space="preserve"> </w:t>
      </w:r>
      <w:r w:rsidR="008B5A69">
        <w:lastRenderedPageBreak/>
        <w:t>control of the Planning and Community Development Committee will end the year with</w:t>
      </w:r>
      <w:r w:rsidR="00EA6144">
        <w:t xml:space="preserve"> a surplus of approximately </w:t>
      </w:r>
      <w:r w:rsidR="00D74DBD">
        <w:t>$283,500</w:t>
      </w:r>
      <w:r w:rsidR="008B5A69">
        <w:t xml:space="preserve">. </w:t>
      </w:r>
    </w:p>
    <w:p w:rsidR="00AC3A8B" w:rsidRPr="00580AAD" w:rsidRDefault="00AC3A8B" w:rsidP="00AC3A8B">
      <w:pPr>
        <w:pStyle w:val="Heading2"/>
      </w:pPr>
      <w:r w:rsidRPr="00580AAD">
        <w:t>Link to Strategic Goals / Priorities</w:t>
      </w:r>
    </w:p>
    <w:p w:rsidR="00EA2942" w:rsidRPr="001C6984" w:rsidRDefault="00EA2942" w:rsidP="00F75854">
      <w:pPr>
        <w:rPr>
          <w:lang w:val="en-CA" w:eastAsia="en-CA"/>
        </w:rPr>
      </w:pPr>
      <w:r w:rsidRPr="001C6984">
        <w:rPr>
          <w:lang w:val="en-CA" w:eastAsia="en-CA"/>
        </w:rPr>
        <w:t>It is important to achieve a balanced budget from year to year where possible in order to allow Council to respond to c</w:t>
      </w:r>
      <w:r>
        <w:rPr>
          <w:lang w:val="en-CA" w:eastAsia="en-CA"/>
        </w:rPr>
        <w:t>orporate goals and objectives.</w:t>
      </w:r>
    </w:p>
    <w:p w:rsidR="00AC3A8B" w:rsidRPr="00B0378D" w:rsidRDefault="00AC3A8B" w:rsidP="00AC3A8B">
      <w:r w:rsidRPr="00B0378D">
        <w:t>Respectfully submitted by,</w:t>
      </w:r>
    </w:p>
    <w:p w:rsidR="00AC3A8B" w:rsidRDefault="00EA2942" w:rsidP="00AC3A8B">
      <w:r>
        <w:t>Sharon Vokes</w:t>
      </w:r>
      <w:r>
        <w:br/>
        <w:t>Clerk</w:t>
      </w:r>
      <w:r w:rsidR="001C5E5C">
        <w:t>/Director of Council Services</w:t>
      </w:r>
    </w:p>
    <w:p w:rsidR="00FE7170" w:rsidRDefault="00EA2942" w:rsidP="00A85D36">
      <w:r>
        <w:t>Randy Scherzer</w:t>
      </w:r>
      <w:r>
        <w:br/>
        <w:t>Director of Planning</w:t>
      </w:r>
    </w:p>
    <w:p w:rsidR="00B32853" w:rsidRDefault="00B32853" w:rsidP="00A85D36">
      <w:pPr>
        <w:contextualSpacing/>
      </w:pPr>
      <w:r>
        <w:t>Geoff Hogan</w:t>
      </w:r>
    </w:p>
    <w:p w:rsidR="00B32853" w:rsidRDefault="00B32853" w:rsidP="00A85D36">
      <w:pPr>
        <w:contextualSpacing/>
      </w:pPr>
      <w:r>
        <w:t>Director of Information Technology</w:t>
      </w:r>
    </w:p>
    <w:sectPr w:rsidR="00B32853" w:rsidSect="00953DFC">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4A" w:rsidRDefault="00835F4A" w:rsidP="00883D8D">
      <w:pPr>
        <w:spacing w:after="0" w:line="240" w:lineRule="auto"/>
      </w:pPr>
      <w:r>
        <w:separator/>
      </w:r>
    </w:p>
  </w:endnote>
  <w:endnote w:type="continuationSeparator" w:id="0">
    <w:p w:rsidR="00835F4A" w:rsidRDefault="00835F4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46767A" w:rsidP="00AC3A8B">
    <w:pPr>
      <w:pStyle w:val="Footer"/>
      <w:rPr>
        <w:sz w:val="22"/>
        <w:szCs w:val="22"/>
      </w:rPr>
    </w:pPr>
    <w:r>
      <w:rPr>
        <w:sz w:val="22"/>
        <w:szCs w:val="22"/>
      </w:rPr>
      <w:t>CCR-PCD-01-16</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727C68">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EA2942">
      <w:rPr>
        <w:sz w:val="22"/>
        <w:szCs w:val="22"/>
      </w:rPr>
      <w:t>December 1</w:t>
    </w:r>
    <w:r>
      <w:rPr>
        <w:sz w:val="22"/>
        <w:szCs w:val="22"/>
      </w:rPr>
      <w:t>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4A" w:rsidRDefault="00835F4A" w:rsidP="00883D8D">
      <w:pPr>
        <w:spacing w:after="0" w:line="240" w:lineRule="auto"/>
      </w:pPr>
      <w:r>
        <w:separator/>
      </w:r>
    </w:p>
  </w:footnote>
  <w:footnote w:type="continuationSeparator" w:id="0">
    <w:p w:rsidR="00835F4A" w:rsidRDefault="00835F4A"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D1E"/>
    <w:multiLevelType w:val="hybridMultilevel"/>
    <w:tmpl w:val="28747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785FD5"/>
    <w:multiLevelType w:val="hybridMultilevel"/>
    <w:tmpl w:val="837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3461B"/>
    <w:multiLevelType w:val="hybridMultilevel"/>
    <w:tmpl w:val="75E6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E5225"/>
    <w:multiLevelType w:val="hybridMultilevel"/>
    <w:tmpl w:val="5038F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423AED"/>
    <w:multiLevelType w:val="hybridMultilevel"/>
    <w:tmpl w:val="BBB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40FAF"/>
    <w:multiLevelType w:val="hybridMultilevel"/>
    <w:tmpl w:val="9F120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0AF7"/>
    <w:rsid w:val="00047A0A"/>
    <w:rsid w:val="00081FCF"/>
    <w:rsid w:val="00097287"/>
    <w:rsid w:val="000B7C11"/>
    <w:rsid w:val="000C614C"/>
    <w:rsid w:val="00113FCB"/>
    <w:rsid w:val="00147AEE"/>
    <w:rsid w:val="001A19F4"/>
    <w:rsid w:val="001C5E5C"/>
    <w:rsid w:val="001E1E74"/>
    <w:rsid w:val="001E44AF"/>
    <w:rsid w:val="001F1D7C"/>
    <w:rsid w:val="00247CA8"/>
    <w:rsid w:val="00257ED1"/>
    <w:rsid w:val="00261613"/>
    <w:rsid w:val="002915BC"/>
    <w:rsid w:val="00294F08"/>
    <w:rsid w:val="002A2712"/>
    <w:rsid w:val="002A6A80"/>
    <w:rsid w:val="002C53BF"/>
    <w:rsid w:val="002C6064"/>
    <w:rsid w:val="002D2844"/>
    <w:rsid w:val="002D71AC"/>
    <w:rsid w:val="0030251E"/>
    <w:rsid w:val="003062A4"/>
    <w:rsid w:val="0032038B"/>
    <w:rsid w:val="003D498A"/>
    <w:rsid w:val="00446A72"/>
    <w:rsid w:val="00457F2B"/>
    <w:rsid w:val="00464176"/>
    <w:rsid w:val="0046767A"/>
    <w:rsid w:val="004748E6"/>
    <w:rsid w:val="0048025B"/>
    <w:rsid w:val="004942B7"/>
    <w:rsid w:val="00494BF8"/>
    <w:rsid w:val="004A173A"/>
    <w:rsid w:val="004F083D"/>
    <w:rsid w:val="00531505"/>
    <w:rsid w:val="00595AA2"/>
    <w:rsid w:val="00597DA3"/>
    <w:rsid w:val="005A360A"/>
    <w:rsid w:val="005B69BA"/>
    <w:rsid w:val="006563A9"/>
    <w:rsid w:val="00675461"/>
    <w:rsid w:val="006853FB"/>
    <w:rsid w:val="006B4C34"/>
    <w:rsid w:val="006C09B5"/>
    <w:rsid w:val="006D5BCF"/>
    <w:rsid w:val="006E28F3"/>
    <w:rsid w:val="006F1E4D"/>
    <w:rsid w:val="00727C68"/>
    <w:rsid w:val="007D3D47"/>
    <w:rsid w:val="00835F4A"/>
    <w:rsid w:val="008814D1"/>
    <w:rsid w:val="00883D8D"/>
    <w:rsid w:val="00895616"/>
    <w:rsid w:val="008B5A69"/>
    <w:rsid w:val="00913CA3"/>
    <w:rsid w:val="00953DFC"/>
    <w:rsid w:val="00997B38"/>
    <w:rsid w:val="009F3E2D"/>
    <w:rsid w:val="00A52D13"/>
    <w:rsid w:val="00A607A3"/>
    <w:rsid w:val="00A63DD6"/>
    <w:rsid w:val="00A755F3"/>
    <w:rsid w:val="00A85C54"/>
    <w:rsid w:val="00A85D36"/>
    <w:rsid w:val="00AA5E09"/>
    <w:rsid w:val="00AB2197"/>
    <w:rsid w:val="00AC3A8B"/>
    <w:rsid w:val="00AE75B7"/>
    <w:rsid w:val="00B00510"/>
    <w:rsid w:val="00B12CC6"/>
    <w:rsid w:val="00B166E4"/>
    <w:rsid w:val="00B32853"/>
    <w:rsid w:val="00B54A13"/>
    <w:rsid w:val="00B64986"/>
    <w:rsid w:val="00B707EE"/>
    <w:rsid w:val="00BA2D40"/>
    <w:rsid w:val="00BA5ACE"/>
    <w:rsid w:val="00C043DB"/>
    <w:rsid w:val="00C42A8F"/>
    <w:rsid w:val="00C67924"/>
    <w:rsid w:val="00C70272"/>
    <w:rsid w:val="00CE1FD3"/>
    <w:rsid w:val="00CE439D"/>
    <w:rsid w:val="00CE59D7"/>
    <w:rsid w:val="00D212EC"/>
    <w:rsid w:val="00D71836"/>
    <w:rsid w:val="00D74DBD"/>
    <w:rsid w:val="00DC1FF0"/>
    <w:rsid w:val="00DD6DCB"/>
    <w:rsid w:val="00E32F4D"/>
    <w:rsid w:val="00E85762"/>
    <w:rsid w:val="00EA2942"/>
    <w:rsid w:val="00EA6144"/>
    <w:rsid w:val="00EC4155"/>
    <w:rsid w:val="00F408BC"/>
    <w:rsid w:val="00F75854"/>
    <w:rsid w:val="00F872C3"/>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5B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18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5B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1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2015-11-16T13:53:00+00:00</sentdate>
    <Superseded xmlns="e6cd7bd4-3f3e-4495-b8c9-139289cd76e6">false</Superseded>
    <Year xmlns="e6cd7bd4-3f3e-4495-b8c9-139289cd76e6" xsi:nil="true"/>
    <originator xmlns="e6cd7bd4-3f3e-4495-b8c9-139289cd76e6">nunnok</originator>
    <policyNumber xmlns="e6cd7bd4-3f3e-4495-b8c9-139289cd76e6" xsi:nil="true"/>
    <documentNumber xmlns="e6cd7bd4-3f3e-4495-b8c9-139289cd76e6">GC_100135841</documentNumber>
    <Municipality xmlns="e6cd7bd4-3f3e-4495-b8c9-139289cd76e6" xsi:nil="true"/>
    <gcNumber xmlns="e6cd7bd4-3f3e-4495-b8c9-139289cd76e6">GC_259199</gcNumber>
    <recordCategory xmlns="e6cd7bd4-3f3e-4495-b8c9-139289cd76e6">C11</recordCategory>
    <isPublic xmlns="e6cd7bd4-3f3e-4495-b8c9-139289cd76e6">true</isPublic>
    <sharedId xmlns="e6cd7bd4-3f3e-4495-b8c9-139289cd76e6">vZY8rU0nQimx4RURR9xWJg</sharedId>
    <committee xmlns="e6cd7bd4-3f3e-4495-b8c9-139289cd76e6">Planning and Community Development Committee</committee>
    <meetingId xmlns="e6cd7bd4-3f3e-4495-b8c9-139289cd76e6">[2015-12-10 Planning &amp; Community Development [1257], 2016-01-05 County Council [1229]]</meetingId>
    <capitalProjectPriority xmlns="e6cd7bd4-3f3e-4495-b8c9-139289cd76e6" xsi:nil="true"/>
    <policyApprovalDate xmlns="e6cd7bd4-3f3e-4495-b8c9-139289cd76e6" xsi:nil="true"/>
    <NodeRef xmlns="e6cd7bd4-3f3e-4495-b8c9-139289cd76e6">b1628e13-fffc-48bd-9024-41a48ea5eaba</NodeRef>
    <addressees xmlns="e6cd7bd4-3f3e-4495-b8c9-139289cd76e6" xsi:nil="true"/>
    <identifier xmlns="e6cd7bd4-3f3e-4495-b8c9-139289cd76e6">2016-1467033220907</identifier>
    <reviewAsOf xmlns="e6cd7bd4-3f3e-4495-b8c9-139289cd76e6">2026-11-09T15:11:00+00:00</reviewAsOf>
    <bylawNumber xmlns="e6cd7bd4-3f3e-4495-b8c9-139289cd76e6" xsi:nil="true"/>
    <addressee xmlns="e6cd7bd4-3f3e-4495-b8c9-139289cd76e6" xsi:nil="true"/>
    <recordOriginatingLocation xmlns="e6cd7bd4-3f3e-4495-b8c9-139289cd76e6">workspace://SpacesStore/d2eb7168-5b98-4ecd-8852-b97a7358c88e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D8795DAA-757C-44F5-91AC-EB48D8565F63}">
  <ds:schemaRefs>
    <ds:schemaRef ds:uri="http://schemas.openxmlformats.org/officeDocument/2006/bibliography"/>
  </ds:schemaRefs>
</ds:datastoreItem>
</file>

<file path=customXml/itemProps2.xml><?xml version="1.0" encoding="utf-8"?>
<ds:datastoreItem xmlns:ds="http://schemas.openxmlformats.org/officeDocument/2006/customXml" ds:itemID="{3AEBF591-DB39-486B-9CE2-F806B3A2EED4}"/>
</file>

<file path=customXml/itemProps3.xml><?xml version="1.0" encoding="utf-8"?>
<ds:datastoreItem xmlns:ds="http://schemas.openxmlformats.org/officeDocument/2006/customXml" ds:itemID="{B8F65DEA-AE48-4308-894C-743CFF8D3A4B}"/>
</file>

<file path=customXml/itemProps4.xml><?xml version="1.0" encoding="utf-8"?>
<ds:datastoreItem xmlns:ds="http://schemas.openxmlformats.org/officeDocument/2006/customXml" ds:itemID="{CB9F5EA3-D87D-423F-813C-7E9B242D8DEF}"/>
</file>

<file path=customXml/itemProps5.xml><?xml version="1.0" encoding="utf-8"?>
<ds:datastoreItem xmlns:ds="http://schemas.openxmlformats.org/officeDocument/2006/customXml" ds:itemID="{29C5E3CE-9B62-4270-8A39-FB8342FBEDBA}"/>
</file>

<file path=docProps/app.xml><?xml version="1.0" encoding="utf-8"?>
<Properties xmlns="http://schemas.openxmlformats.org/officeDocument/2006/extended-properties" xmlns:vt="http://schemas.openxmlformats.org/officeDocument/2006/docPropsVTypes">
  <Template>Normal</Template>
  <TotalTime>234</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15</cp:revision>
  <cp:lastPrinted>2015-12-04T14:08:00Z</cp:lastPrinted>
  <dcterms:created xsi:type="dcterms:W3CDTF">2015-11-16T18:53:00Z</dcterms:created>
  <dcterms:modified xsi:type="dcterms:W3CDTF">2016-02-04T16:53:00Z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