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2CDB793E" w:rsidR="00FF5EE5" w:rsidRDefault="00FF5EE5" w:rsidP="007E2535">
            <w:pPr>
              <w:spacing w:before="60" w:after="60"/>
            </w:pPr>
            <w:r w:rsidRPr="00CF0CF7">
              <w:rPr>
                <w:lang w:val="en-CA"/>
              </w:rPr>
              <w:t>Warden</w:t>
            </w:r>
            <w:r w:rsidR="00CD650D">
              <w:rPr>
                <w:lang w:val="en-CA"/>
              </w:rPr>
              <w:t xml:space="preserve"> </w:t>
            </w:r>
            <w:r w:rsidR="008262F4">
              <w:rPr>
                <w:lang w:val="en-CA"/>
              </w:rPr>
              <w:t xml:space="preserve">Hicks </w:t>
            </w:r>
            <w:r w:rsidRPr="00CF0CF7">
              <w:rPr>
                <w:lang w:val="en-CA"/>
              </w:rPr>
              <w:t>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2E37E44F" w:rsidR="00FF5EE5" w:rsidRPr="00CF0CF7" w:rsidRDefault="004B1DDD" w:rsidP="00FF5EE5">
            <w:pPr>
              <w:spacing w:before="60" w:after="60"/>
              <w:rPr>
                <w:lang w:val="en-CA"/>
              </w:rPr>
            </w:pPr>
            <w:r>
              <w:rPr>
                <w:lang w:val="en-CA"/>
              </w:rPr>
              <w:t>November 14</w:t>
            </w:r>
            <w:r w:rsidR="00332006">
              <w:rPr>
                <w:lang w:val="en-CA"/>
              </w:rPr>
              <w:t>, 201</w:t>
            </w:r>
            <w:r w:rsidR="008262F4">
              <w:rPr>
                <w:lang w:val="en-CA"/>
              </w:rPr>
              <w:t>9</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4ED37E7C" w:rsidR="00FF5EE5" w:rsidRPr="00CF0CF7" w:rsidRDefault="00275B3A" w:rsidP="00B97093">
            <w:pPr>
              <w:spacing w:before="60" w:after="60"/>
              <w:rPr>
                <w:lang w:val="en-CA"/>
              </w:rPr>
            </w:pPr>
            <w:r>
              <w:rPr>
                <w:lang w:val="en-CA"/>
              </w:rPr>
              <w:t>HDR-CW-</w:t>
            </w:r>
            <w:r w:rsidR="004B1DDD">
              <w:rPr>
                <w:lang w:val="en-CA"/>
              </w:rPr>
              <w:t>12</w:t>
            </w:r>
            <w:r w:rsidR="008262F4">
              <w:rPr>
                <w:lang w:val="en-CA"/>
              </w:rPr>
              <w:t>-19</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6806E56C" w:rsidR="00FF5EE5" w:rsidRPr="00CF0CF7" w:rsidRDefault="0058133F" w:rsidP="000D1C43">
            <w:pPr>
              <w:spacing w:before="60" w:after="60"/>
              <w:rPr>
                <w:lang w:val="en-CA"/>
              </w:rPr>
            </w:pPr>
            <w:r>
              <w:rPr>
                <w:lang w:val="en-CA"/>
              </w:rPr>
              <w:t>Ontario Priorities Housing Initiative and Canada Ontario Community Housing</w:t>
            </w:r>
            <w:r w:rsidR="000373E5">
              <w:rPr>
                <w:lang w:val="en-CA"/>
              </w:rPr>
              <w:t xml:space="preserve"> Initiative </w:t>
            </w:r>
            <w:r w:rsidR="004B1DDD">
              <w:rPr>
                <w:lang w:val="en-CA"/>
              </w:rPr>
              <w:t>Funding Allocation</w:t>
            </w:r>
            <w:r w:rsidR="000373E5">
              <w:rPr>
                <w:lang w:val="en-CA"/>
              </w:rPr>
              <w:t xml:space="preserve"> </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43823331" w:rsidR="00A72765" w:rsidRPr="00CF0CF7" w:rsidRDefault="009323A8" w:rsidP="00FF5EE5">
            <w:pPr>
              <w:spacing w:before="60" w:after="60"/>
              <w:rPr>
                <w:lang w:val="en-CA"/>
              </w:rPr>
            </w:pPr>
            <w:r>
              <w:rPr>
                <w:lang w:val="en-CA"/>
              </w:rPr>
              <w:t>Anne Marie Shaw</w:t>
            </w:r>
            <w:r w:rsidR="002D6C79">
              <w:rPr>
                <w:lang w:val="en-CA"/>
              </w:rPr>
              <w:t>, Director of Housin</w:t>
            </w:r>
            <w:r w:rsidR="009F435A">
              <w:rPr>
                <w:lang w:val="en-CA"/>
              </w:rPr>
              <w:t>g</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768A98AE" w:rsidR="00FF5EE5" w:rsidRPr="00CF0CF7" w:rsidRDefault="001C6AAD" w:rsidP="00FF5EE5">
            <w:pPr>
              <w:spacing w:before="60" w:after="60"/>
              <w:rPr>
                <w:lang w:val="en-CA"/>
              </w:rPr>
            </w:pPr>
            <w:r>
              <w:rPr>
                <w:lang w:val="en-CA"/>
              </w:rPr>
              <w:t>Kim Wingrove</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3056F03C" w:rsidR="00FF5EE5" w:rsidRPr="00CF0CF7" w:rsidRDefault="001C6AAD" w:rsidP="00FF5EE5">
            <w:pPr>
              <w:spacing w:before="60" w:after="60"/>
              <w:rPr>
                <w:lang w:val="en-CA"/>
              </w:rPr>
            </w:pPr>
            <w:r>
              <w:rPr>
                <w:lang w:val="en-CA"/>
              </w:rPr>
              <w:t>All Municipalities</w:t>
            </w:r>
          </w:p>
        </w:tc>
      </w:tr>
      <w:tr w:rsidR="00FF5EE5" w14:paraId="0E0B39E2" w14:textId="77777777" w:rsidTr="00106719">
        <w:trPr>
          <w:trHeight w:val="423"/>
        </w:trPr>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21A8E04E" w:rsidR="009F0CC6" w:rsidRPr="00CF0CF7" w:rsidRDefault="00BD6F3B" w:rsidP="00700EF5">
            <w:pPr>
              <w:spacing w:before="60" w:after="60"/>
              <w:rPr>
                <w:lang w:val="en-CA"/>
              </w:rPr>
            </w:pPr>
            <w:r>
              <w:rPr>
                <w:lang w:val="en-CA"/>
              </w:rPr>
              <w:t>Recommendation adopted by Committee as presented per Resolution CW215-19;</w:t>
            </w:r>
            <w:r w:rsidR="00013DA6">
              <w:rPr>
                <w:lang w:val="en-CA"/>
              </w:rPr>
              <w:t xml:space="preserve"> Endorsed by County Council November 28, 2019 per Resolution CC97-19</w:t>
            </w:r>
            <w:bookmarkStart w:id="0" w:name="_GoBack"/>
            <w:bookmarkEnd w:id="0"/>
          </w:p>
        </w:tc>
      </w:tr>
    </w:tbl>
    <w:p w14:paraId="0284D929" w14:textId="2D2E57D0" w:rsidR="00AC3A8B" w:rsidRDefault="00FB203E" w:rsidP="00FF5EE5">
      <w:pPr>
        <w:pStyle w:val="Heading2"/>
        <w:keepNext w:val="0"/>
        <w:widowControl w:val="0"/>
        <w:spacing w:before="360"/>
      </w:pPr>
      <w:r>
        <w:t>Recommendation</w:t>
      </w:r>
    </w:p>
    <w:p w14:paraId="4D7A7568" w14:textId="641A986C" w:rsidR="002F6F99" w:rsidRPr="004D34EE" w:rsidRDefault="00D14915" w:rsidP="004D34EE">
      <w:pPr>
        <w:pStyle w:val="ListParagraph"/>
        <w:numPr>
          <w:ilvl w:val="0"/>
          <w:numId w:val="16"/>
        </w:numPr>
        <w:rPr>
          <w:b/>
          <w:bCs/>
        </w:rPr>
      </w:pPr>
      <w:r w:rsidRPr="007C3957">
        <w:rPr>
          <w:rFonts w:cs="Arial"/>
          <w:b/>
        </w:rPr>
        <w:t>That</w:t>
      </w:r>
      <w:r w:rsidR="001C700C">
        <w:rPr>
          <w:rFonts w:cs="Arial"/>
          <w:b/>
        </w:rPr>
        <w:t xml:space="preserve"> report HDR-CW-</w:t>
      </w:r>
      <w:r w:rsidR="004B1DDD">
        <w:rPr>
          <w:rFonts w:cs="Arial"/>
          <w:b/>
        </w:rPr>
        <w:t>12</w:t>
      </w:r>
      <w:r w:rsidR="008262F4">
        <w:rPr>
          <w:rFonts w:cs="Arial"/>
          <w:b/>
        </w:rPr>
        <w:t>-19</w:t>
      </w:r>
      <w:r w:rsidR="001C700C">
        <w:rPr>
          <w:rFonts w:cs="Arial"/>
          <w:b/>
        </w:rPr>
        <w:t xml:space="preserve"> pertaining to</w:t>
      </w:r>
      <w:r w:rsidR="000373E5">
        <w:rPr>
          <w:rFonts w:cs="Arial"/>
          <w:b/>
        </w:rPr>
        <w:t xml:space="preserve"> Ontario Prioriti</w:t>
      </w:r>
      <w:r w:rsidR="004B1DDD">
        <w:rPr>
          <w:rFonts w:cs="Arial"/>
          <w:b/>
        </w:rPr>
        <w:t>es Housing Initiative</w:t>
      </w:r>
      <w:r w:rsidR="00160D92">
        <w:rPr>
          <w:rFonts w:cs="Arial"/>
          <w:b/>
        </w:rPr>
        <w:t xml:space="preserve"> and Canada Ontario Community Housing Initiative </w:t>
      </w:r>
      <w:r w:rsidR="00B05953">
        <w:rPr>
          <w:rFonts w:cs="Arial"/>
          <w:b/>
        </w:rPr>
        <w:t>funding allocation</w:t>
      </w:r>
      <w:r w:rsidR="009F435A">
        <w:rPr>
          <w:rFonts w:cs="Arial"/>
          <w:b/>
        </w:rPr>
        <w:t xml:space="preserve"> be received</w:t>
      </w:r>
      <w:r w:rsidR="002F6F99">
        <w:rPr>
          <w:rFonts w:cs="Arial"/>
          <w:b/>
        </w:rPr>
        <w:t>;</w:t>
      </w:r>
      <w:r w:rsidR="000373E5">
        <w:rPr>
          <w:rFonts w:cs="Arial"/>
          <w:b/>
        </w:rPr>
        <w:t xml:space="preserve"> and</w:t>
      </w:r>
    </w:p>
    <w:p w14:paraId="0EAE3300" w14:textId="77777777" w:rsidR="004D34EE" w:rsidRPr="004D34EE" w:rsidRDefault="004D34EE" w:rsidP="004D34EE">
      <w:pPr>
        <w:pStyle w:val="ListParagraph"/>
        <w:rPr>
          <w:b/>
          <w:bCs/>
        </w:rPr>
      </w:pPr>
    </w:p>
    <w:p w14:paraId="2CFC2003" w14:textId="60DD76FD" w:rsidR="000373E5" w:rsidRDefault="00FB79D7" w:rsidP="002F6F99">
      <w:pPr>
        <w:pStyle w:val="ListParagraph"/>
        <w:numPr>
          <w:ilvl w:val="0"/>
          <w:numId w:val="16"/>
        </w:numPr>
        <w:rPr>
          <w:b/>
          <w:bCs/>
        </w:rPr>
      </w:pPr>
      <w:r>
        <w:rPr>
          <w:b/>
          <w:bCs/>
        </w:rPr>
        <w:t>That $</w:t>
      </w:r>
      <w:r w:rsidR="004D34EE">
        <w:rPr>
          <w:b/>
          <w:bCs/>
        </w:rPr>
        <w:t>82</w:t>
      </w:r>
      <w:r w:rsidR="00C11FC7">
        <w:rPr>
          <w:b/>
          <w:bCs/>
        </w:rPr>
        <w:t>9</w:t>
      </w:r>
      <w:r w:rsidR="004D34EE">
        <w:rPr>
          <w:b/>
          <w:bCs/>
        </w:rPr>
        <w:t>,320</w:t>
      </w:r>
      <w:r>
        <w:rPr>
          <w:b/>
          <w:bCs/>
        </w:rPr>
        <w:t xml:space="preserve"> in O</w:t>
      </w:r>
      <w:r w:rsidR="003360E6">
        <w:rPr>
          <w:b/>
          <w:bCs/>
        </w:rPr>
        <w:t xml:space="preserve">ntario </w:t>
      </w:r>
      <w:r>
        <w:rPr>
          <w:b/>
          <w:bCs/>
        </w:rPr>
        <w:t>P</w:t>
      </w:r>
      <w:r w:rsidR="003360E6">
        <w:rPr>
          <w:b/>
          <w:bCs/>
        </w:rPr>
        <w:t xml:space="preserve">riorities </w:t>
      </w:r>
      <w:r>
        <w:rPr>
          <w:b/>
          <w:bCs/>
        </w:rPr>
        <w:t>H</w:t>
      </w:r>
      <w:r w:rsidR="003360E6">
        <w:rPr>
          <w:b/>
          <w:bCs/>
        </w:rPr>
        <w:t xml:space="preserve">ousing </w:t>
      </w:r>
      <w:r>
        <w:rPr>
          <w:b/>
          <w:bCs/>
        </w:rPr>
        <w:t>I</w:t>
      </w:r>
      <w:r w:rsidR="003360E6">
        <w:rPr>
          <w:b/>
          <w:bCs/>
        </w:rPr>
        <w:t>nitiativ</w:t>
      </w:r>
      <w:r w:rsidR="002A2531">
        <w:rPr>
          <w:b/>
          <w:bCs/>
        </w:rPr>
        <w:t>e</w:t>
      </w:r>
      <w:r>
        <w:rPr>
          <w:b/>
          <w:bCs/>
        </w:rPr>
        <w:t xml:space="preserve"> funding </w:t>
      </w:r>
      <w:r w:rsidR="006A515A">
        <w:rPr>
          <w:b/>
          <w:bCs/>
        </w:rPr>
        <w:t>be</w:t>
      </w:r>
      <w:r w:rsidR="002A2531">
        <w:rPr>
          <w:b/>
          <w:bCs/>
        </w:rPr>
        <w:t xml:space="preserve"> brought forward and </w:t>
      </w:r>
      <w:r w:rsidR="006A515A">
        <w:rPr>
          <w:b/>
          <w:bCs/>
        </w:rPr>
        <w:t>approved for use in</w:t>
      </w:r>
      <w:r>
        <w:rPr>
          <w:b/>
          <w:bCs/>
        </w:rPr>
        <w:t xml:space="preserve"> 2019</w:t>
      </w:r>
      <w:r w:rsidR="003E202F">
        <w:rPr>
          <w:b/>
          <w:bCs/>
        </w:rPr>
        <w:t>, and</w:t>
      </w:r>
    </w:p>
    <w:p w14:paraId="492281DB" w14:textId="77777777" w:rsidR="003E202F" w:rsidRPr="003E202F" w:rsidRDefault="003E202F" w:rsidP="003E202F">
      <w:pPr>
        <w:pStyle w:val="ListParagraph"/>
        <w:rPr>
          <w:b/>
          <w:bCs/>
        </w:rPr>
      </w:pPr>
    </w:p>
    <w:p w14:paraId="78720479" w14:textId="536CC08A" w:rsidR="003E202F" w:rsidRPr="0018681D" w:rsidRDefault="003E202F" w:rsidP="002F6F99">
      <w:pPr>
        <w:pStyle w:val="ListParagraph"/>
        <w:numPr>
          <w:ilvl w:val="0"/>
          <w:numId w:val="16"/>
        </w:numPr>
        <w:rPr>
          <w:b/>
          <w:bCs/>
        </w:rPr>
      </w:pPr>
      <w:r w:rsidRPr="0018681D">
        <w:rPr>
          <w:b/>
          <w:bCs/>
        </w:rPr>
        <w:t xml:space="preserve">That </w:t>
      </w:r>
      <w:r w:rsidR="0018681D" w:rsidRPr="0018681D">
        <w:rPr>
          <w:b/>
          <w:bCs/>
        </w:rPr>
        <w:t xml:space="preserve">any additional funds made available to Grey County Housing under the </w:t>
      </w:r>
      <w:r w:rsidRPr="0018681D">
        <w:rPr>
          <w:b/>
          <w:bCs/>
        </w:rPr>
        <w:t>Canada Ontario Community Housing Initiative funding be approved for use in 2019, and</w:t>
      </w:r>
    </w:p>
    <w:p w14:paraId="0BEC99E3" w14:textId="77777777" w:rsidR="003E202F" w:rsidRPr="003E202F" w:rsidRDefault="003E202F" w:rsidP="003E202F">
      <w:pPr>
        <w:pStyle w:val="ListParagraph"/>
        <w:rPr>
          <w:b/>
          <w:bCs/>
        </w:rPr>
      </w:pPr>
    </w:p>
    <w:p w14:paraId="4B941B6A" w14:textId="62EEC034" w:rsidR="003E202F" w:rsidRPr="00F6577B" w:rsidRDefault="003E202F" w:rsidP="00111415">
      <w:pPr>
        <w:pStyle w:val="ListParagraph"/>
        <w:numPr>
          <w:ilvl w:val="0"/>
          <w:numId w:val="16"/>
        </w:numPr>
        <w:rPr>
          <w:b/>
          <w:bCs/>
        </w:rPr>
      </w:pPr>
      <w:r>
        <w:rPr>
          <w:b/>
          <w:bCs/>
        </w:rPr>
        <w:t xml:space="preserve">That a By-law be prepared authorizing the Warden and Clerk to execute the amended </w:t>
      </w:r>
      <w:r>
        <w:rPr>
          <w:rFonts w:cs="Arial"/>
          <w:b/>
        </w:rPr>
        <w:t xml:space="preserve">Canada Ontario Community Housing Initiative (COCHI) and Ontario Priorities Housing Initiative (OPHI) </w:t>
      </w:r>
      <w:r>
        <w:rPr>
          <w:b/>
          <w:bCs/>
        </w:rPr>
        <w:t xml:space="preserve">Transfer Payment Agreement with the Ministry of </w:t>
      </w:r>
      <w:r w:rsidR="00892B1A">
        <w:rPr>
          <w:b/>
          <w:bCs/>
        </w:rPr>
        <w:t xml:space="preserve">Municipal Affairs and </w:t>
      </w:r>
      <w:r>
        <w:rPr>
          <w:b/>
          <w:bCs/>
        </w:rPr>
        <w:t>Housing</w:t>
      </w:r>
      <w:r w:rsidR="00111415">
        <w:rPr>
          <w:b/>
          <w:bCs/>
        </w:rPr>
        <w:t>.</w:t>
      </w:r>
    </w:p>
    <w:p w14:paraId="683583E8" w14:textId="216CD5AD" w:rsidR="00085C13" w:rsidRDefault="00CD64E9" w:rsidP="002966A9">
      <w:pPr>
        <w:pStyle w:val="Heading2"/>
        <w:keepNext w:val="0"/>
        <w:widowControl w:val="0"/>
        <w:rPr>
          <w:rStyle w:val="IntenseEmphasis"/>
          <w:b w:val="0"/>
        </w:rPr>
      </w:pPr>
      <w:r>
        <w:t>Executive Summary</w:t>
      </w:r>
      <w:r w:rsidR="00F81320" w:rsidRPr="003A256F">
        <w:rPr>
          <w:rStyle w:val="IntenseEmphasis"/>
          <w:b w:val="0"/>
        </w:rPr>
        <w:t xml:space="preserve"> </w:t>
      </w:r>
    </w:p>
    <w:p w14:paraId="76B2B69D" w14:textId="006767A2" w:rsidR="0043023B" w:rsidRDefault="00E91DB3" w:rsidP="000373E5">
      <w:r>
        <w:t>The final phase of the Odawa Heights development being co</w:t>
      </w:r>
      <w:r w:rsidR="0043023B">
        <w:t xml:space="preserve">nstructed </w:t>
      </w:r>
      <w:r>
        <w:t xml:space="preserve">by the Owen Sound Housing Corporation is a 54-unit apartment. </w:t>
      </w:r>
      <w:r w:rsidR="0043023B">
        <w:t xml:space="preserve">The 36-units in the first two phases </w:t>
      </w:r>
      <w:r w:rsidR="0043023B">
        <w:lastRenderedPageBreak/>
        <w:t xml:space="preserve">are complete. </w:t>
      </w:r>
      <w:r>
        <w:t xml:space="preserve">The province has provided Grey County with the opportunity to accelerate the completion </w:t>
      </w:r>
      <w:r w:rsidR="0043023B">
        <w:t xml:space="preserve">of the </w:t>
      </w:r>
      <w:r w:rsidR="002A2531">
        <w:t xml:space="preserve">final phase of the </w:t>
      </w:r>
      <w:r w:rsidR="0043023B">
        <w:t>project.</w:t>
      </w:r>
      <w:r w:rsidR="000373E5">
        <w:t xml:space="preserve"> </w:t>
      </w:r>
    </w:p>
    <w:p w14:paraId="674E0D76" w14:textId="5DF6606D" w:rsidR="000373E5" w:rsidRPr="000373E5" w:rsidRDefault="0043023B" w:rsidP="000373E5">
      <w:r>
        <w:t xml:space="preserve">Under </w:t>
      </w:r>
      <w:r w:rsidR="002A2531">
        <w:t xml:space="preserve">the </w:t>
      </w:r>
      <w:r>
        <w:t>Ontario Housing Renewal Strategy programs</w:t>
      </w:r>
      <w:r w:rsidR="002A2531">
        <w:t xml:space="preserve"> COCHI and OPHI</w:t>
      </w:r>
      <w:r>
        <w:t xml:space="preserve">, </w:t>
      </w:r>
      <w:r w:rsidR="004B1DDD">
        <w:t>Grey County received allocations</w:t>
      </w:r>
      <w:r>
        <w:t xml:space="preserve"> to develop affordable housing through the Owen Sound Housing Company</w:t>
      </w:r>
      <w:r w:rsidR="004B1DDD">
        <w:t xml:space="preserve"> for 2019, 2020 and 2021</w:t>
      </w:r>
      <w:r>
        <w:t>. Under a revised Transfer Payment Agreement, Grey County would be permitted to flow these allocations now</w:t>
      </w:r>
      <w:r w:rsidR="002A2531">
        <w:t xml:space="preserve"> and access some additional funding </w:t>
      </w:r>
      <w:r w:rsidR="00BB4F2A">
        <w:t xml:space="preserve">to </w:t>
      </w:r>
      <w:r w:rsidR="002A2531">
        <w:t xml:space="preserve">complete </w:t>
      </w:r>
      <w:r w:rsidR="00BB4F2A">
        <w:t xml:space="preserve">the Owen Sound Housing Company </w:t>
      </w:r>
      <w:r>
        <w:t>b</w:t>
      </w:r>
      <w:r w:rsidR="00BB4F2A">
        <w:t xml:space="preserve">uild. The amount of </w:t>
      </w:r>
      <w:r w:rsidR="002A2531">
        <w:t xml:space="preserve">additional </w:t>
      </w:r>
      <w:r w:rsidR="00BB4F2A">
        <w:t>funding has not been confirmed at this point but due to tight timelines to access the funding</w:t>
      </w:r>
      <w:r w:rsidR="00651E6C">
        <w:t>,</w:t>
      </w:r>
      <w:r w:rsidR="00BB4F2A">
        <w:t xml:space="preserve"> </w:t>
      </w:r>
      <w:r w:rsidR="002A2531">
        <w:t>C</w:t>
      </w:r>
      <w:r w:rsidR="00BB4F2A">
        <w:t>ouncil approval to amend the current Provincial Transfer Payment Agreement is required</w:t>
      </w:r>
      <w:r w:rsidR="00160D92">
        <w:t>.</w:t>
      </w:r>
    </w:p>
    <w:p w14:paraId="0284D92B" w14:textId="6F3FD3F8" w:rsidR="00AC3A8B" w:rsidRDefault="00AC3A8B" w:rsidP="006E00FA">
      <w:pPr>
        <w:pStyle w:val="Heading2"/>
        <w:keepNext w:val="0"/>
        <w:widowControl w:val="0"/>
      </w:pPr>
      <w:r w:rsidRPr="00B0378D">
        <w:t>Background</w:t>
      </w:r>
      <w:r w:rsidR="00CD64E9">
        <w:t xml:space="preserve"> and Discussion</w:t>
      </w:r>
    </w:p>
    <w:p w14:paraId="4470453A" w14:textId="1D1AB88A" w:rsidR="004D767E" w:rsidRDefault="004D767E" w:rsidP="001B6223">
      <w:r>
        <w:t>The Owen Sound Housing Company</w:t>
      </w:r>
      <w:r w:rsidR="00A73DF7">
        <w:t xml:space="preserve"> </w:t>
      </w:r>
      <w:r>
        <w:t>is a local non-profit housing provider</w:t>
      </w:r>
      <w:r w:rsidR="00A73DF7">
        <w:t xml:space="preserve"> </w:t>
      </w:r>
      <w:r>
        <w:t>as defined by the Housing Services Act, 2011.  Owen Sound Municipal Non</w:t>
      </w:r>
      <w:r w:rsidR="0058133F">
        <w:t>-</w:t>
      </w:r>
      <w:r>
        <w:t>Profit Housing Corporation provides management services for their various properties. The same board governs both entities.</w:t>
      </w:r>
    </w:p>
    <w:p w14:paraId="72392756" w14:textId="77777777" w:rsidR="00A73DF7" w:rsidRDefault="004D767E" w:rsidP="001B6223">
      <w:r>
        <w:t>They are</w:t>
      </w:r>
      <w:r w:rsidR="00A73DF7">
        <w:t xml:space="preserve"> a</w:t>
      </w:r>
      <w:r>
        <w:t xml:space="preserve"> leader in Grey County for constructing and operating social housing and </w:t>
      </w:r>
      <w:r w:rsidR="00A73DF7">
        <w:t>a</w:t>
      </w:r>
      <w:r>
        <w:t>ffordable housing and have</w:t>
      </w:r>
      <w:r w:rsidR="00A73DF7">
        <w:t xml:space="preserve"> </w:t>
      </w:r>
      <w:r>
        <w:t xml:space="preserve">been operating for over sixty years. Owen Sound Housing </w:t>
      </w:r>
      <w:r w:rsidR="00A73DF7">
        <w:t>C</w:t>
      </w:r>
      <w:r>
        <w:t>ompany</w:t>
      </w:r>
      <w:r w:rsidR="00A73DF7">
        <w:t xml:space="preserve"> </w:t>
      </w:r>
      <w:r>
        <w:t>owns</w:t>
      </w:r>
      <w:r w:rsidR="00A73DF7">
        <w:t xml:space="preserve"> 2</w:t>
      </w:r>
      <w:r>
        <w:t>30</w:t>
      </w:r>
      <w:r w:rsidR="00A73DF7">
        <w:t xml:space="preserve"> </w:t>
      </w:r>
      <w:r>
        <w:t>townhomes and apartment</w:t>
      </w:r>
      <w:r w:rsidR="00A73DF7">
        <w:t xml:space="preserve"> </w:t>
      </w:r>
      <w:r>
        <w:t>units in the City of Owen Sound.</w:t>
      </w:r>
    </w:p>
    <w:p w14:paraId="7EB3C9A6" w14:textId="4FDE2B89" w:rsidR="0066541E" w:rsidRPr="00A73DF7" w:rsidRDefault="0066541E" w:rsidP="001B6223">
      <w:r>
        <w:t xml:space="preserve">In 2016, Owen Sound Housing Corporation was one of the successful respondents to an Expression of Interest put out by Grey County for new affordable housing units under the </w:t>
      </w:r>
      <w:r w:rsidR="004D767E">
        <w:t xml:space="preserve">federal provincial </w:t>
      </w:r>
      <w:r>
        <w:t xml:space="preserve">Investment in Affordable Housing program and Social Infrastructure Fund. </w:t>
      </w:r>
      <w:r w:rsidR="00164ADB">
        <w:t xml:space="preserve">Owen Sound Housing Company’s successful proposal for </w:t>
      </w:r>
      <w:r w:rsidR="00164ADB">
        <w:rPr>
          <w:rFonts w:eastAsia="Times New Roman"/>
          <w:lang w:val="en-CA" w:eastAsia="en-CA"/>
        </w:rPr>
        <w:t>construction of the project known as Odawa Heights (</w:t>
      </w:r>
      <w:hyperlink r:id="rId9" w:history="1">
        <w:r w:rsidR="00164ADB" w:rsidRPr="00792FEC">
          <w:rPr>
            <w:rStyle w:val="Hyperlink"/>
            <w:rFonts w:eastAsia="Times New Roman"/>
            <w:lang w:val="en-CA" w:eastAsia="en-CA"/>
          </w:rPr>
          <w:t>https://www.grey.ca/affordable-housing/affordable-housing-locations/odawa-heights</w:t>
        </w:r>
      </w:hyperlink>
      <w:r w:rsidR="00164ADB">
        <w:rPr>
          <w:rFonts w:eastAsia="Times New Roman"/>
          <w:lang w:val="en-CA" w:eastAsia="en-CA"/>
        </w:rPr>
        <w:t xml:space="preserve">), </w:t>
      </w:r>
      <w:r w:rsidR="00164ADB">
        <w:t>came with site plan approval for 90 units in three or four phases of development.</w:t>
      </w:r>
    </w:p>
    <w:p w14:paraId="249935E1" w14:textId="2FAC84D4" w:rsidR="0066541E" w:rsidRPr="0066541E" w:rsidRDefault="004D767E" w:rsidP="001B6223">
      <w:pPr>
        <w:rPr>
          <w:rFonts w:eastAsia="Times New Roman"/>
          <w:lang w:val="en-CA" w:eastAsia="en-CA"/>
        </w:rPr>
      </w:pPr>
      <w:r>
        <w:rPr>
          <w:rFonts w:eastAsia="Times New Roman"/>
          <w:lang w:val="en-CA" w:eastAsia="en-CA"/>
        </w:rPr>
        <w:t xml:space="preserve">The </w:t>
      </w:r>
      <w:r w:rsidR="00164ADB">
        <w:rPr>
          <w:rFonts w:eastAsia="Times New Roman"/>
          <w:lang w:val="en-CA" w:eastAsia="en-CA"/>
        </w:rPr>
        <w:t xml:space="preserve">initial </w:t>
      </w:r>
      <w:r>
        <w:rPr>
          <w:rFonts w:eastAsia="Times New Roman"/>
          <w:lang w:val="en-CA" w:eastAsia="en-CA"/>
        </w:rPr>
        <w:t>funding supported</w:t>
      </w:r>
      <w:r w:rsidR="00164ADB">
        <w:rPr>
          <w:rFonts w:eastAsia="Times New Roman"/>
          <w:lang w:val="en-CA" w:eastAsia="en-CA"/>
        </w:rPr>
        <w:t xml:space="preserve"> </w:t>
      </w:r>
      <w:r w:rsidR="0066541E" w:rsidRPr="0066541E">
        <w:rPr>
          <w:rFonts w:eastAsia="Times New Roman"/>
          <w:lang w:val="en-CA" w:eastAsia="en-CA"/>
        </w:rPr>
        <w:t xml:space="preserve">28 </w:t>
      </w:r>
      <w:r w:rsidR="002A2531" w:rsidRPr="0066541E">
        <w:rPr>
          <w:rFonts w:eastAsia="Times New Roman"/>
          <w:lang w:val="en-CA" w:eastAsia="en-CA"/>
        </w:rPr>
        <w:t>one- and two-bedroom</w:t>
      </w:r>
      <w:r w:rsidR="0066541E" w:rsidRPr="0066541E">
        <w:rPr>
          <w:rFonts w:eastAsia="Times New Roman"/>
          <w:lang w:val="en-CA" w:eastAsia="en-CA"/>
        </w:rPr>
        <w:t xml:space="preserve"> townhouse style units</w:t>
      </w:r>
      <w:r>
        <w:rPr>
          <w:rFonts w:eastAsia="Times New Roman"/>
          <w:lang w:val="en-CA" w:eastAsia="en-CA"/>
        </w:rPr>
        <w:t xml:space="preserve"> as either g</w:t>
      </w:r>
      <w:r w:rsidRPr="0066541E">
        <w:rPr>
          <w:rFonts w:eastAsia="Times New Roman"/>
          <w:lang w:val="en-CA" w:eastAsia="en-CA"/>
        </w:rPr>
        <w:t xml:space="preserve">round level accessible units </w:t>
      </w:r>
      <w:r>
        <w:rPr>
          <w:rFonts w:eastAsia="Times New Roman"/>
          <w:lang w:val="en-CA" w:eastAsia="en-CA"/>
        </w:rPr>
        <w:t xml:space="preserve">or </w:t>
      </w:r>
      <w:r w:rsidRPr="0066541E">
        <w:rPr>
          <w:rFonts w:eastAsia="Times New Roman"/>
          <w:lang w:val="en-CA" w:eastAsia="en-CA"/>
        </w:rPr>
        <w:t>2 storey stacked apartments</w:t>
      </w:r>
      <w:r>
        <w:rPr>
          <w:rFonts w:eastAsia="Times New Roman"/>
          <w:lang w:val="en-CA" w:eastAsia="en-CA"/>
        </w:rPr>
        <w:t xml:space="preserve">.  Of the </w:t>
      </w:r>
      <w:r w:rsidR="001B6223">
        <w:rPr>
          <w:rFonts w:eastAsia="Times New Roman"/>
          <w:lang w:val="en-CA" w:eastAsia="en-CA"/>
        </w:rPr>
        <w:t xml:space="preserve">original </w:t>
      </w:r>
      <w:r>
        <w:rPr>
          <w:rFonts w:eastAsia="Times New Roman"/>
          <w:lang w:val="en-CA" w:eastAsia="en-CA"/>
        </w:rPr>
        <w:t>22 a</w:t>
      </w:r>
      <w:r w:rsidRPr="0066541E">
        <w:rPr>
          <w:rFonts w:eastAsia="Times New Roman"/>
          <w:lang w:val="en-CA" w:eastAsia="en-CA"/>
        </w:rPr>
        <w:t>ffordable units</w:t>
      </w:r>
      <w:r>
        <w:rPr>
          <w:rFonts w:eastAsia="Times New Roman"/>
          <w:lang w:val="en-CA" w:eastAsia="en-CA"/>
        </w:rPr>
        <w:t xml:space="preserve">, there </w:t>
      </w:r>
      <w:r w:rsidR="001B6223">
        <w:rPr>
          <w:rFonts w:eastAsia="Times New Roman"/>
          <w:lang w:val="en-CA" w:eastAsia="en-CA"/>
        </w:rPr>
        <w:t xml:space="preserve">were </w:t>
      </w:r>
      <w:r w:rsidR="0066541E" w:rsidRPr="0066541E">
        <w:rPr>
          <w:rFonts w:eastAsia="Times New Roman"/>
          <w:lang w:val="en-CA" w:eastAsia="en-CA"/>
        </w:rPr>
        <w:t>15 one bedroom</w:t>
      </w:r>
      <w:r>
        <w:rPr>
          <w:rFonts w:eastAsia="Times New Roman"/>
          <w:lang w:val="en-CA" w:eastAsia="en-CA"/>
        </w:rPr>
        <w:t xml:space="preserve">s and </w:t>
      </w:r>
      <w:r w:rsidR="0066541E" w:rsidRPr="0066541E">
        <w:rPr>
          <w:rFonts w:eastAsia="Times New Roman"/>
          <w:lang w:val="en-CA" w:eastAsia="en-CA"/>
        </w:rPr>
        <w:t>7 two bedroom</w:t>
      </w:r>
      <w:r>
        <w:rPr>
          <w:rFonts w:eastAsia="Times New Roman"/>
          <w:lang w:val="en-CA" w:eastAsia="en-CA"/>
        </w:rPr>
        <w:t xml:space="preserve">s. </w:t>
      </w:r>
      <w:r w:rsidR="0066541E" w:rsidRPr="0066541E">
        <w:rPr>
          <w:rFonts w:eastAsia="Times New Roman"/>
          <w:lang w:val="en-CA" w:eastAsia="en-CA"/>
        </w:rPr>
        <w:t xml:space="preserve"> </w:t>
      </w:r>
      <w:r w:rsidR="001B6223">
        <w:rPr>
          <w:rFonts w:eastAsia="Times New Roman"/>
          <w:lang w:val="en-CA" w:eastAsia="en-CA"/>
        </w:rPr>
        <w:t xml:space="preserve">Twelve of the units were </w:t>
      </w:r>
      <w:r w:rsidR="0066541E" w:rsidRPr="0066541E">
        <w:rPr>
          <w:rFonts w:eastAsia="Times New Roman"/>
          <w:lang w:val="en-CA" w:eastAsia="en-CA"/>
        </w:rPr>
        <w:t>barrier free accessible units for seniors and persons with disabilities</w:t>
      </w:r>
      <w:r>
        <w:rPr>
          <w:rFonts w:eastAsia="Times New Roman"/>
          <w:lang w:val="en-CA" w:eastAsia="en-CA"/>
        </w:rPr>
        <w:t xml:space="preserve">. </w:t>
      </w:r>
      <w:r w:rsidR="0066541E" w:rsidRPr="0066541E">
        <w:rPr>
          <w:rFonts w:eastAsia="Times New Roman"/>
          <w:lang w:val="en-CA" w:eastAsia="en-CA"/>
        </w:rPr>
        <w:t xml:space="preserve">Support services </w:t>
      </w:r>
      <w:r>
        <w:rPr>
          <w:rFonts w:eastAsia="Times New Roman"/>
          <w:lang w:val="en-CA" w:eastAsia="en-CA"/>
        </w:rPr>
        <w:t xml:space="preserve">are </w:t>
      </w:r>
      <w:r w:rsidR="0066541E" w:rsidRPr="0066541E">
        <w:rPr>
          <w:rFonts w:eastAsia="Times New Roman"/>
          <w:lang w:val="en-CA" w:eastAsia="en-CA"/>
        </w:rPr>
        <w:t>available on site</w:t>
      </w:r>
      <w:r>
        <w:rPr>
          <w:rFonts w:eastAsia="Times New Roman"/>
          <w:lang w:val="en-CA" w:eastAsia="en-CA"/>
        </w:rPr>
        <w:t>.</w:t>
      </w:r>
      <w:r w:rsidR="00A73DF7">
        <w:rPr>
          <w:rFonts w:eastAsia="Times New Roman"/>
          <w:lang w:val="en-CA" w:eastAsia="en-CA"/>
        </w:rPr>
        <w:t xml:space="preserve"> In 2017, the County provided a short</w:t>
      </w:r>
      <w:r w:rsidR="001B6223">
        <w:rPr>
          <w:rFonts w:eastAsia="Times New Roman"/>
          <w:lang w:val="en-CA" w:eastAsia="en-CA"/>
        </w:rPr>
        <w:t>-</w:t>
      </w:r>
      <w:r w:rsidR="00A73DF7">
        <w:rPr>
          <w:rFonts w:eastAsia="Times New Roman"/>
          <w:lang w:val="en-CA" w:eastAsia="en-CA"/>
        </w:rPr>
        <w:t xml:space="preserve">term construction loan of $800,000 from the Housing Capital Reserve </w:t>
      </w:r>
      <w:r w:rsidR="001B6223">
        <w:rPr>
          <w:rFonts w:eastAsia="Times New Roman"/>
          <w:lang w:val="en-CA" w:eastAsia="en-CA"/>
        </w:rPr>
        <w:t xml:space="preserve">to get the project through to completion, </w:t>
      </w:r>
      <w:r w:rsidR="00A73DF7">
        <w:rPr>
          <w:rFonts w:eastAsia="Times New Roman"/>
          <w:lang w:val="en-CA" w:eastAsia="en-CA"/>
        </w:rPr>
        <w:t>which was repaid in in 2018.</w:t>
      </w:r>
      <w:r w:rsidR="001B6223">
        <w:rPr>
          <w:rFonts w:eastAsia="Times New Roman"/>
          <w:lang w:val="en-CA" w:eastAsia="en-CA"/>
        </w:rPr>
        <w:t xml:space="preserve"> In 2018, the province provided an additional $880,000</w:t>
      </w:r>
      <w:r w:rsidR="00164ADB">
        <w:rPr>
          <w:rFonts w:eastAsia="Times New Roman"/>
          <w:lang w:val="en-CA" w:eastAsia="en-CA"/>
        </w:rPr>
        <w:t xml:space="preserve"> and i</w:t>
      </w:r>
      <w:r w:rsidR="00164ADB">
        <w:t xml:space="preserve">n 2019 an additional eight units and a community room were completed. </w:t>
      </w:r>
    </w:p>
    <w:p w14:paraId="36390BEA" w14:textId="77777777" w:rsidR="00164ADB" w:rsidRDefault="00164ADB" w:rsidP="00164ADB">
      <w:pPr>
        <w:pStyle w:val="Heading2"/>
      </w:pPr>
      <w:r>
        <w:t>Additional Funding</w:t>
      </w:r>
    </w:p>
    <w:p w14:paraId="7AC477D3" w14:textId="2B5464EC" w:rsidR="00164ADB" w:rsidRDefault="00164ADB" w:rsidP="00E91DB3">
      <w:r>
        <w:t>The final p</w:t>
      </w:r>
      <w:r w:rsidR="00E91DB3">
        <w:t>hase</w:t>
      </w:r>
      <w:r>
        <w:t xml:space="preserve"> of </w:t>
      </w:r>
      <w:r w:rsidR="00E91DB3">
        <w:t xml:space="preserve">the </w:t>
      </w:r>
      <w:r>
        <w:t xml:space="preserve">Odawa Heights </w:t>
      </w:r>
      <w:r w:rsidR="00E91DB3">
        <w:t xml:space="preserve">development </w:t>
      </w:r>
      <w:r>
        <w:t>is a 54-unit apartment building</w:t>
      </w:r>
      <w:r w:rsidR="00E91DB3">
        <w:t xml:space="preserve">. </w:t>
      </w:r>
      <w:r>
        <w:t xml:space="preserve">The province has funds remaining at the end of this year in the COCHI program. The Owen </w:t>
      </w:r>
      <w:r>
        <w:lastRenderedPageBreak/>
        <w:t>Sound Housing Company qualifies for the additional funds as it is ready to sign an agreement, meaning the project has site plan approval, requires no further planning approvals and is shovel ready</w:t>
      </w:r>
      <w:r w:rsidR="0058133F">
        <w:t>. To access COCHI funds you must be a non-profit housing provider and the affordable units must be offered to applicants on the Grey County community housing wait list.</w:t>
      </w:r>
      <w:r>
        <w:t xml:space="preserve"> The additional funding will allow the 54-unit apartment building to move forward in one phase. The build will consist of 43 affordable units and 11 market units. The units are a mix of one- and two-bedroom units. Eight of the 54 units will be accessible units.</w:t>
      </w:r>
    </w:p>
    <w:p w14:paraId="5E35C732" w14:textId="77777777" w:rsidR="00164ADB" w:rsidRPr="00160D92" w:rsidRDefault="00164ADB" w:rsidP="00164ADB">
      <w:r>
        <w:t>To flow the funding to the County of Grey from the Province an amended Transfer Payment Agreement (TPA)is required. The TPA requires a bylaw be prepared authorizing the Warden and Clerk sign the agreement. The agreement is a standard agreement between the County and the Province, and the original was vetted through our agreement process.</w:t>
      </w:r>
    </w:p>
    <w:p w14:paraId="5C7E9500" w14:textId="77777777" w:rsidR="004F3521" w:rsidRDefault="004F3521" w:rsidP="004F3521">
      <w:pPr>
        <w:pStyle w:val="Heading3"/>
      </w:pPr>
      <w:r>
        <w:t>Ontario Priorities Housing Initiative (OPHI)</w:t>
      </w:r>
    </w:p>
    <w:p w14:paraId="29A1F861" w14:textId="0D228068" w:rsidR="00610323" w:rsidRDefault="004F3521" w:rsidP="004F3521">
      <w:r>
        <w:t xml:space="preserve">The Ontario Priorities Housing Initiative (OPHI) </w:t>
      </w:r>
      <w:r w:rsidR="00B05953">
        <w:t>aims</w:t>
      </w:r>
      <w:r>
        <w:t xml:space="preserve"> to address local housing priorities such as repair of existing units and new construction.  </w:t>
      </w:r>
      <w:r w:rsidR="00742242">
        <w:t>Grey County entered into an agreement with the Province to deliver the Ontario Priorities Housing Initiative. In report HDR-CW-09-19 council committed to the following as a</w:t>
      </w:r>
      <w:r w:rsidR="00355761">
        <w:t xml:space="preserve"> delivery plan for the OPHI program</w:t>
      </w:r>
      <w:r w:rsidR="00124103">
        <w:t xml:space="preserve"> in order to support the completion of the 54-unit apartment building.</w:t>
      </w:r>
    </w:p>
    <w:tbl>
      <w:tblPr>
        <w:tblStyle w:val="GridTable1Light"/>
        <w:tblW w:w="0" w:type="auto"/>
        <w:tblLook w:val="04A0" w:firstRow="1" w:lastRow="0" w:firstColumn="1" w:lastColumn="0" w:noHBand="0" w:noVBand="1"/>
      </w:tblPr>
      <w:tblGrid>
        <w:gridCol w:w="2689"/>
        <w:gridCol w:w="1985"/>
        <w:gridCol w:w="2338"/>
        <w:gridCol w:w="2338"/>
      </w:tblGrid>
      <w:tr w:rsidR="002D386A" w14:paraId="3B21EB41" w14:textId="77777777" w:rsidTr="00BC3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34CA0F" w14:textId="7C3609F9" w:rsidR="002D386A" w:rsidRDefault="002D386A" w:rsidP="004F3521">
            <w:r>
              <w:t>Program</w:t>
            </w:r>
          </w:p>
        </w:tc>
        <w:tc>
          <w:tcPr>
            <w:tcW w:w="1985" w:type="dxa"/>
          </w:tcPr>
          <w:p w14:paraId="0138620B" w14:textId="1734AA2B" w:rsidR="002D386A" w:rsidRDefault="002D386A" w:rsidP="004F3521">
            <w:pPr>
              <w:cnfStyle w:val="100000000000" w:firstRow="1" w:lastRow="0" w:firstColumn="0" w:lastColumn="0" w:oddVBand="0" w:evenVBand="0" w:oddHBand="0" w:evenHBand="0" w:firstRowFirstColumn="0" w:firstRowLastColumn="0" w:lastRowFirstColumn="0" w:lastRowLastColumn="0"/>
            </w:pPr>
            <w:r>
              <w:t>2019-20</w:t>
            </w:r>
          </w:p>
        </w:tc>
        <w:tc>
          <w:tcPr>
            <w:tcW w:w="2338" w:type="dxa"/>
          </w:tcPr>
          <w:p w14:paraId="6B15E323" w14:textId="46FD542B" w:rsidR="002D386A" w:rsidRDefault="002D386A" w:rsidP="004F3521">
            <w:pPr>
              <w:cnfStyle w:val="100000000000" w:firstRow="1" w:lastRow="0" w:firstColumn="0" w:lastColumn="0" w:oddVBand="0" w:evenVBand="0" w:oddHBand="0" w:evenHBand="0" w:firstRowFirstColumn="0" w:firstRowLastColumn="0" w:lastRowFirstColumn="0" w:lastRowLastColumn="0"/>
            </w:pPr>
            <w:r>
              <w:t>2020-21</w:t>
            </w:r>
          </w:p>
        </w:tc>
        <w:tc>
          <w:tcPr>
            <w:tcW w:w="2338" w:type="dxa"/>
          </w:tcPr>
          <w:p w14:paraId="41B796D3" w14:textId="774D5484" w:rsidR="002D386A" w:rsidRDefault="002D386A" w:rsidP="004F3521">
            <w:pPr>
              <w:cnfStyle w:val="100000000000" w:firstRow="1" w:lastRow="0" w:firstColumn="0" w:lastColumn="0" w:oddVBand="0" w:evenVBand="0" w:oddHBand="0" w:evenHBand="0" w:firstRowFirstColumn="0" w:firstRowLastColumn="0" w:lastRowFirstColumn="0" w:lastRowLastColumn="0"/>
            </w:pPr>
            <w:r>
              <w:t>2021-22</w:t>
            </w:r>
          </w:p>
        </w:tc>
      </w:tr>
      <w:tr w:rsidR="002D386A" w14:paraId="288A7BB0"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1F4AE4D9" w14:textId="60579117" w:rsidR="002D386A" w:rsidRDefault="002D386A" w:rsidP="004F3521">
            <w:r>
              <w:t xml:space="preserve">OPHI </w:t>
            </w:r>
            <w:r w:rsidR="00D4452A">
              <w:t>Funding</w:t>
            </w:r>
          </w:p>
        </w:tc>
        <w:tc>
          <w:tcPr>
            <w:tcW w:w="1985" w:type="dxa"/>
          </w:tcPr>
          <w:p w14:paraId="173A1035" w14:textId="7CFC0A43" w:rsidR="002D386A" w:rsidRDefault="002D386A" w:rsidP="004F3521">
            <w:pPr>
              <w:cnfStyle w:val="000000000000" w:firstRow="0" w:lastRow="0" w:firstColumn="0" w:lastColumn="0" w:oddVBand="0" w:evenVBand="0" w:oddHBand="0" w:evenHBand="0" w:firstRowFirstColumn="0" w:firstRowLastColumn="0" w:lastRowFirstColumn="0" w:lastRowLastColumn="0"/>
            </w:pPr>
            <w:r>
              <w:t>723,600</w:t>
            </w:r>
          </w:p>
        </w:tc>
        <w:tc>
          <w:tcPr>
            <w:tcW w:w="2338" w:type="dxa"/>
          </w:tcPr>
          <w:p w14:paraId="298C7DA6" w14:textId="74D54A64" w:rsidR="002D386A" w:rsidRDefault="002D386A" w:rsidP="004F3521">
            <w:pPr>
              <w:cnfStyle w:val="000000000000" w:firstRow="0" w:lastRow="0" w:firstColumn="0" w:lastColumn="0" w:oddVBand="0" w:evenVBand="0" w:oddHBand="0" w:evenHBand="0" w:firstRowFirstColumn="0" w:firstRowLastColumn="0" w:lastRowFirstColumn="0" w:lastRowLastColumn="0"/>
            </w:pPr>
            <w:r>
              <w:t>374,900</w:t>
            </w:r>
          </w:p>
        </w:tc>
        <w:tc>
          <w:tcPr>
            <w:tcW w:w="2338" w:type="dxa"/>
          </w:tcPr>
          <w:p w14:paraId="0DBD0C38" w14:textId="1EE01940" w:rsidR="002D386A" w:rsidRDefault="002D386A" w:rsidP="004F3521">
            <w:pPr>
              <w:cnfStyle w:val="000000000000" w:firstRow="0" w:lastRow="0" w:firstColumn="0" w:lastColumn="0" w:oddVBand="0" w:evenVBand="0" w:oddHBand="0" w:evenHBand="0" w:firstRowFirstColumn="0" w:firstRowLastColumn="0" w:lastRowFirstColumn="0" w:lastRowLastColumn="0"/>
            </w:pPr>
            <w:r>
              <w:t>583,600</w:t>
            </w:r>
          </w:p>
        </w:tc>
      </w:tr>
      <w:tr w:rsidR="002D386A" w14:paraId="4F44D798"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63B7E361" w14:textId="77777777" w:rsidR="002D386A" w:rsidRDefault="002D386A" w:rsidP="004F3521"/>
        </w:tc>
        <w:tc>
          <w:tcPr>
            <w:tcW w:w="1985" w:type="dxa"/>
          </w:tcPr>
          <w:p w14:paraId="209AF547" w14:textId="77777777" w:rsidR="002D386A" w:rsidRDefault="002D386A" w:rsidP="004F3521">
            <w:pPr>
              <w:cnfStyle w:val="000000000000" w:firstRow="0" w:lastRow="0" w:firstColumn="0" w:lastColumn="0" w:oddVBand="0" w:evenVBand="0" w:oddHBand="0" w:evenHBand="0" w:firstRowFirstColumn="0" w:firstRowLastColumn="0" w:lastRowFirstColumn="0" w:lastRowLastColumn="0"/>
            </w:pPr>
          </w:p>
        </w:tc>
        <w:tc>
          <w:tcPr>
            <w:tcW w:w="2338" w:type="dxa"/>
          </w:tcPr>
          <w:p w14:paraId="73C073FD" w14:textId="77777777" w:rsidR="002D386A" w:rsidRDefault="002D386A" w:rsidP="004F3521">
            <w:pPr>
              <w:cnfStyle w:val="000000000000" w:firstRow="0" w:lastRow="0" w:firstColumn="0" w:lastColumn="0" w:oddVBand="0" w:evenVBand="0" w:oddHBand="0" w:evenHBand="0" w:firstRowFirstColumn="0" w:firstRowLastColumn="0" w:lastRowFirstColumn="0" w:lastRowLastColumn="0"/>
            </w:pPr>
          </w:p>
        </w:tc>
        <w:tc>
          <w:tcPr>
            <w:tcW w:w="2338" w:type="dxa"/>
          </w:tcPr>
          <w:p w14:paraId="392EB0E3" w14:textId="77777777" w:rsidR="002D386A" w:rsidRDefault="002D386A" w:rsidP="004F3521">
            <w:pPr>
              <w:cnfStyle w:val="000000000000" w:firstRow="0" w:lastRow="0" w:firstColumn="0" w:lastColumn="0" w:oddVBand="0" w:evenVBand="0" w:oddHBand="0" w:evenHBand="0" w:firstRowFirstColumn="0" w:firstRowLastColumn="0" w:lastRowFirstColumn="0" w:lastRowLastColumn="0"/>
            </w:pPr>
          </w:p>
        </w:tc>
      </w:tr>
      <w:tr w:rsidR="002D386A" w14:paraId="601CA3B0"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1F0FC7F9" w14:textId="50344A21" w:rsidR="002D386A" w:rsidRDefault="00911E52" w:rsidP="004F3521">
            <w:r>
              <w:t>Rental Build</w:t>
            </w:r>
          </w:p>
        </w:tc>
        <w:tc>
          <w:tcPr>
            <w:tcW w:w="1985" w:type="dxa"/>
          </w:tcPr>
          <w:p w14:paraId="3B77688F" w14:textId="0BCF616F" w:rsidR="002D386A" w:rsidRPr="004D34EE" w:rsidRDefault="00911E52" w:rsidP="004F3521">
            <w:pPr>
              <w:cnfStyle w:val="000000000000" w:firstRow="0" w:lastRow="0" w:firstColumn="0" w:lastColumn="0" w:oddVBand="0" w:evenVBand="0" w:oddHBand="0" w:evenHBand="0" w:firstRowFirstColumn="0" w:firstRowLastColumn="0" w:lastRowFirstColumn="0" w:lastRowLastColumn="0"/>
              <w:rPr>
                <w:highlight w:val="yellow"/>
              </w:rPr>
            </w:pPr>
            <w:r w:rsidRPr="004D34EE">
              <w:rPr>
                <w:highlight w:val="yellow"/>
              </w:rPr>
              <w:t>687,420</w:t>
            </w:r>
          </w:p>
        </w:tc>
        <w:tc>
          <w:tcPr>
            <w:tcW w:w="2338" w:type="dxa"/>
          </w:tcPr>
          <w:p w14:paraId="6EF30C44" w14:textId="580AA3AB" w:rsidR="002D386A" w:rsidRPr="004D34EE" w:rsidRDefault="00911E52" w:rsidP="004F3521">
            <w:pPr>
              <w:cnfStyle w:val="000000000000" w:firstRow="0" w:lastRow="0" w:firstColumn="0" w:lastColumn="0" w:oddVBand="0" w:evenVBand="0" w:oddHBand="0" w:evenHBand="0" w:firstRowFirstColumn="0" w:firstRowLastColumn="0" w:lastRowFirstColumn="0" w:lastRowLastColumn="0"/>
              <w:rPr>
                <w:highlight w:val="yellow"/>
              </w:rPr>
            </w:pPr>
            <w:r w:rsidRPr="004D34EE">
              <w:rPr>
                <w:highlight w:val="yellow"/>
              </w:rPr>
              <w:t>356,155</w:t>
            </w:r>
          </w:p>
        </w:tc>
        <w:tc>
          <w:tcPr>
            <w:tcW w:w="2338" w:type="dxa"/>
          </w:tcPr>
          <w:p w14:paraId="7D2A7021" w14:textId="72D90007" w:rsidR="002D386A" w:rsidRPr="004D34EE" w:rsidRDefault="00911E52" w:rsidP="004F3521">
            <w:pPr>
              <w:cnfStyle w:val="000000000000" w:firstRow="0" w:lastRow="0" w:firstColumn="0" w:lastColumn="0" w:oddVBand="0" w:evenVBand="0" w:oddHBand="0" w:evenHBand="0" w:firstRowFirstColumn="0" w:firstRowLastColumn="0" w:lastRowFirstColumn="0" w:lastRowLastColumn="0"/>
              <w:rPr>
                <w:highlight w:val="yellow"/>
              </w:rPr>
            </w:pPr>
            <w:r w:rsidRPr="004D34EE">
              <w:rPr>
                <w:highlight w:val="yellow"/>
              </w:rPr>
              <w:t>454,420</w:t>
            </w:r>
          </w:p>
        </w:tc>
      </w:tr>
      <w:tr w:rsidR="002D386A" w14:paraId="3BE629DE"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45C080F6" w14:textId="4B58DDC5" w:rsidR="002D386A" w:rsidRDefault="002D386A" w:rsidP="004F3521">
            <w:r>
              <w:t>Rent Supplement</w:t>
            </w:r>
          </w:p>
        </w:tc>
        <w:tc>
          <w:tcPr>
            <w:tcW w:w="1985" w:type="dxa"/>
          </w:tcPr>
          <w:p w14:paraId="05203809" w14:textId="5767F3AA"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40125C81" w14:textId="6A69B5F1"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1B739349" w14:textId="25B8FBAA" w:rsidR="002D386A" w:rsidRDefault="0039061D" w:rsidP="004F3521">
            <w:pPr>
              <w:cnfStyle w:val="000000000000" w:firstRow="0" w:lastRow="0" w:firstColumn="0" w:lastColumn="0" w:oddVBand="0" w:evenVBand="0" w:oddHBand="0" w:evenHBand="0" w:firstRowFirstColumn="0" w:firstRowLastColumn="0" w:lastRowFirstColumn="0" w:lastRowLastColumn="0"/>
            </w:pPr>
            <w:r>
              <w:t>100,000</w:t>
            </w:r>
          </w:p>
        </w:tc>
      </w:tr>
      <w:tr w:rsidR="002D386A" w14:paraId="7E4D1487"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07E0F508" w14:textId="50441ECB" w:rsidR="002D386A" w:rsidRDefault="002D386A" w:rsidP="004F3521">
            <w:r>
              <w:t>Ontario Renovates</w:t>
            </w:r>
          </w:p>
        </w:tc>
        <w:tc>
          <w:tcPr>
            <w:tcW w:w="1985" w:type="dxa"/>
          </w:tcPr>
          <w:p w14:paraId="5C24DD0A" w14:textId="1A8F0D42" w:rsidR="002D386A" w:rsidRDefault="002D386A" w:rsidP="00BC321F">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0D40BE20" w14:textId="7475BC82"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07CA7DE9" w14:textId="227CB1A3" w:rsidR="002D386A" w:rsidRDefault="0039061D" w:rsidP="004F3521">
            <w:pPr>
              <w:cnfStyle w:val="000000000000" w:firstRow="0" w:lastRow="0" w:firstColumn="0" w:lastColumn="0" w:oddVBand="0" w:evenVBand="0" w:oddHBand="0" w:evenHBand="0" w:firstRowFirstColumn="0" w:firstRowLastColumn="0" w:lastRowFirstColumn="0" w:lastRowLastColumn="0"/>
            </w:pPr>
            <w:r>
              <w:t>0</w:t>
            </w:r>
          </w:p>
        </w:tc>
      </w:tr>
      <w:tr w:rsidR="002D386A" w14:paraId="230BD30D"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6E198AC8" w14:textId="4A976E76" w:rsidR="002D386A" w:rsidRDefault="002D386A" w:rsidP="004F3521">
            <w:r>
              <w:t>Secondary Suites</w:t>
            </w:r>
          </w:p>
        </w:tc>
        <w:tc>
          <w:tcPr>
            <w:tcW w:w="1985" w:type="dxa"/>
          </w:tcPr>
          <w:p w14:paraId="64EE11B7" w14:textId="73C69D10"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1C2A8B73" w14:textId="63CDBEE3"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273478D2" w14:textId="24B775EF" w:rsidR="002D386A" w:rsidRDefault="0039061D" w:rsidP="004F3521">
            <w:pPr>
              <w:cnfStyle w:val="000000000000" w:firstRow="0" w:lastRow="0" w:firstColumn="0" w:lastColumn="0" w:oddVBand="0" w:evenVBand="0" w:oddHBand="0" w:evenHBand="0" w:firstRowFirstColumn="0" w:firstRowLastColumn="0" w:lastRowFirstColumn="0" w:lastRowLastColumn="0"/>
            </w:pPr>
            <w:r>
              <w:t>0</w:t>
            </w:r>
          </w:p>
        </w:tc>
      </w:tr>
      <w:tr w:rsidR="002D386A" w14:paraId="77B9725E"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17AC6D7F" w14:textId="59019215" w:rsidR="002D386A" w:rsidRDefault="002D386A" w:rsidP="004F3521">
            <w:r>
              <w:t>Homeownership</w:t>
            </w:r>
          </w:p>
        </w:tc>
        <w:tc>
          <w:tcPr>
            <w:tcW w:w="1985" w:type="dxa"/>
          </w:tcPr>
          <w:p w14:paraId="4CF15776" w14:textId="2584626E"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61B517CA" w14:textId="6720E773" w:rsidR="002D386A" w:rsidRDefault="002D386A" w:rsidP="004F3521">
            <w:pPr>
              <w:cnfStyle w:val="000000000000" w:firstRow="0" w:lastRow="0" w:firstColumn="0" w:lastColumn="0" w:oddVBand="0" w:evenVBand="0" w:oddHBand="0" w:evenHBand="0" w:firstRowFirstColumn="0" w:firstRowLastColumn="0" w:lastRowFirstColumn="0" w:lastRowLastColumn="0"/>
            </w:pPr>
            <w:r>
              <w:t>0</w:t>
            </w:r>
          </w:p>
        </w:tc>
        <w:tc>
          <w:tcPr>
            <w:tcW w:w="2338" w:type="dxa"/>
          </w:tcPr>
          <w:p w14:paraId="7B5E9CFC" w14:textId="2D3422C0" w:rsidR="002D386A" w:rsidRDefault="0039061D" w:rsidP="004F3521">
            <w:pPr>
              <w:cnfStyle w:val="000000000000" w:firstRow="0" w:lastRow="0" w:firstColumn="0" w:lastColumn="0" w:oddVBand="0" w:evenVBand="0" w:oddHBand="0" w:evenHBand="0" w:firstRowFirstColumn="0" w:firstRowLastColumn="0" w:lastRowFirstColumn="0" w:lastRowLastColumn="0"/>
            </w:pPr>
            <w:r>
              <w:t>0</w:t>
            </w:r>
          </w:p>
        </w:tc>
      </w:tr>
      <w:tr w:rsidR="002D386A" w14:paraId="4210FB55"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2924F8EC" w14:textId="01E0FEF0" w:rsidR="002D386A" w:rsidRDefault="00911E52" w:rsidP="004F3521">
            <w:r>
              <w:t>Administration 5%</w:t>
            </w:r>
          </w:p>
        </w:tc>
        <w:tc>
          <w:tcPr>
            <w:tcW w:w="1985" w:type="dxa"/>
          </w:tcPr>
          <w:p w14:paraId="0A6E3B92" w14:textId="5221A73F" w:rsidR="002D386A" w:rsidRDefault="00911E52" w:rsidP="004F3521">
            <w:pPr>
              <w:cnfStyle w:val="000000000000" w:firstRow="0" w:lastRow="0" w:firstColumn="0" w:lastColumn="0" w:oddVBand="0" w:evenVBand="0" w:oddHBand="0" w:evenHBand="0" w:firstRowFirstColumn="0" w:firstRowLastColumn="0" w:lastRowFirstColumn="0" w:lastRowLastColumn="0"/>
            </w:pPr>
            <w:r>
              <w:t>36,180</w:t>
            </w:r>
          </w:p>
        </w:tc>
        <w:tc>
          <w:tcPr>
            <w:tcW w:w="2338" w:type="dxa"/>
          </w:tcPr>
          <w:p w14:paraId="41F00E9B" w14:textId="52C1CC25" w:rsidR="002D386A" w:rsidRDefault="00911E52" w:rsidP="004F3521">
            <w:pPr>
              <w:cnfStyle w:val="000000000000" w:firstRow="0" w:lastRow="0" w:firstColumn="0" w:lastColumn="0" w:oddVBand="0" w:evenVBand="0" w:oddHBand="0" w:evenHBand="0" w:firstRowFirstColumn="0" w:firstRowLastColumn="0" w:lastRowFirstColumn="0" w:lastRowLastColumn="0"/>
            </w:pPr>
            <w:r w:rsidRPr="004D34EE">
              <w:rPr>
                <w:highlight w:val="yellow"/>
              </w:rPr>
              <w:t>18,745</w:t>
            </w:r>
          </w:p>
        </w:tc>
        <w:tc>
          <w:tcPr>
            <w:tcW w:w="2338" w:type="dxa"/>
          </w:tcPr>
          <w:p w14:paraId="316D1D7C" w14:textId="2057F7E7" w:rsidR="002D386A" w:rsidRDefault="00911E52" w:rsidP="004F3521">
            <w:pPr>
              <w:cnfStyle w:val="000000000000" w:firstRow="0" w:lastRow="0" w:firstColumn="0" w:lastColumn="0" w:oddVBand="0" w:evenVBand="0" w:oddHBand="0" w:evenHBand="0" w:firstRowFirstColumn="0" w:firstRowLastColumn="0" w:lastRowFirstColumn="0" w:lastRowLastColumn="0"/>
            </w:pPr>
            <w:r>
              <w:t>29,180</w:t>
            </w:r>
          </w:p>
        </w:tc>
      </w:tr>
      <w:tr w:rsidR="002D386A" w14:paraId="28834191" w14:textId="77777777" w:rsidTr="00BC321F">
        <w:tc>
          <w:tcPr>
            <w:cnfStyle w:val="001000000000" w:firstRow="0" w:lastRow="0" w:firstColumn="1" w:lastColumn="0" w:oddVBand="0" w:evenVBand="0" w:oddHBand="0" w:evenHBand="0" w:firstRowFirstColumn="0" w:firstRowLastColumn="0" w:lastRowFirstColumn="0" w:lastRowLastColumn="0"/>
            <w:tcW w:w="2689" w:type="dxa"/>
          </w:tcPr>
          <w:p w14:paraId="1ECBEBAC" w14:textId="524FDD64" w:rsidR="002D386A" w:rsidRDefault="002D386A" w:rsidP="004F3521">
            <w:r>
              <w:t xml:space="preserve">Total </w:t>
            </w:r>
          </w:p>
        </w:tc>
        <w:tc>
          <w:tcPr>
            <w:tcW w:w="1985" w:type="dxa"/>
          </w:tcPr>
          <w:p w14:paraId="101CE82C" w14:textId="05996FFB" w:rsidR="002D386A" w:rsidRPr="00D4452A" w:rsidRDefault="002D386A" w:rsidP="004F3521">
            <w:pPr>
              <w:cnfStyle w:val="000000000000" w:firstRow="0" w:lastRow="0" w:firstColumn="0" w:lastColumn="0" w:oddVBand="0" w:evenVBand="0" w:oddHBand="0" w:evenHBand="0" w:firstRowFirstColumn="0" w:firstRowLastColumn="0" w:lastRowFirstColumn="0" w:lastRowLastColumn="0"/>
              <w:rPr>
                <w:b/>
              </w:rPr>
            </w:pPr>
            <w:r w:rsidRPr="00D4452A">
              <w:rPr>
                <w:b/>
              </w:rPr>
              <w:t>723,600</w:t>
            </w:r>
          </w:p>
        </w:tc>
        <w:tc>
          <w:tcPr>
            <w:tcW w:w="2338" w:type="dxa"/>
          </w:tcPr>
          <w:p w14:paraId="4003ACC9" w14:textId="078A143D" w:rsidR="002D386A" w:rsidRPr="00D4452A" w:rsidRDefault="002D386A" w:rsidP="004F3521">
            <w:pPr>
              <w:cnfStyle w:val="000000000000" w:firstRow="0" w:lastRow="0" w:firstColumn="0" w:lastColumn="0" w:oddVBand="0" w:evenVBand="0" w:oddHBand="0" w:evenHBand="0" w:firstRowFirstColumn="0" w:firstRowLastColumn="0" w:lastRowFirstColumn="0" w:lastRowLastColumn="0"/>
              <w:rPr>
                <w:b/>
              </w:rPr>
            </w:pPr>
            <w:r w:rsidRPr="00D4452A">
              <w:rPr>
                <w:b/>
              </w:rPr>
              <w:t>374,900</w:t>
            </w:r>
          </w:p>
        </w:tc>
        <w:tc>
          <w:tcPr>
            <w:tcW w:w="2338" w:type="dxa"/>
          </w:tcPr>
          <w:p w14:paraId="68087BD3" w14:textId="6A3854F8" w:rsidR="002D386A" w:rsidRPr="00D4452A" w:rsidRDefault="0039061D" w:rsidP="004F3521">
            <w:pPr>
              <w:cnfStyle w:val="000000000000" w:firstRow="0" w:lastRow="0" w:firstColumn="0" w:lastColumn="0" w:oddVBand="0" w:evenVBand="0" w:oddHBand="0" w:evenHBand="0" w:firstRowFirstColumn="0" w:firstRowLastColumn="0" w:lastRowFirstColumn="0" w:lastRowLastColumn="0"/>
              <w:rPr>
                <w:b/>
              </w:rPr>
            </w:pPr>
            <w:r w:rsidRPr="00D4452A">
              <w:rPr>
                <w:b/>
              </w:rPr>
              <w:t>583,600</w:t>
            </w:r>
          </w:p>
        </w:tc>
      </w:tr>
    </w:tbl>
    <w:p w14:paraId="57B8FDD5" w14:textId="5E1433B5" w:rsidR="00C26F47" w:rsidRDefault="00C26F47" w:rsidP="00C26F47"/>
    <w:p w14:paraId="7868FDA1" w14:textId="677A90B7" w:rsidR="00742242" w:rsidRDefault="00124103" w:rsidP="004D34EE">
      <w:r>
        <w:t xml:space="preserve">The ability to flow the three years of funding now </w:t>
      </w:r>
      <w:r w:rsidR="00742242">
        <w:t>is a benefit to Grey County</w:t>
      </w:r>
      <w:r w:rsidR="00196134">
        <w:t xml:space="preserve"> and Owen Sound Housing Company</w:t>
      </w:r>
      <w:r w:rsidR="00742242">
        <w:t xml:space="preserve"> as the funds allocated can be provided up front instead of over </w:t>
      </w:r>
      <w:r w:rsidR="00B05953">
        <w:t>multiple</w:t>
      </w:r>
      <w:r w:rsidR="00742242">
        <w:t xml:space="preserve"> years and only one agreement is required.</w:t>
      </w:r>
      <w:r w:rsidR="00742242">
        <w:tab/>
      </w:r>
    </w:p>
    <w:p w14:paraId="6E3277D4" w14:textId="6EFEB5FF" w:rsidR="00D4050A" w:rsidRDefault="00D4050A" w:rsidP="004D34EE">
      <w:r>
        <w:t xml:space="preserve">The Ontario Priorities Housing Initiative unbudgeted funding amount of $829,320 that is requested for approval in this report includes $356,155 in rental build and $18,745 in administration funding from the 2020-21 allotment as well as $454,420 in rental build from the 2021-22 allotment.   The 2019-20 allotment of $687,420 has already been approved for use in report HDR-CW-09-19 on July 25, 2019 by the Committee of the Whole as per Resolution CW161-19 (endorsed by County Council on August 8, 2019 as </w:t>
      </w:r>
      <w:r>
        <w:lastRenderedPageBreak/>
        <w:t>per Resolution CC63-19). The 2021-22 allotment also includes $100,000 in rent supplement and this amount, along with the administration funds, will stay in their allotted year.</w:t>
      </w:r>
    </w:p>
    <w:p w14:paraId="0284D92D" w14:textId="7A9C1352" w:rsidR="00AC3A8B" w:rsidRDefault="0012151B" w:rsidP="00CD64E9">
      <w:pPr>
        <w:pStyle w:val="Heading2"/>
      </w:pPr>
      <w:r>
        <w:t>L</w:t>
      </w:r>
      <w:r w:rsidR="00CD64E9" w:rsidRPr="00440DF4">
        <w:t>egal and Legislated Requirements</w:t>
      </w:r>
    </w:p>
    <w:p w14:paraId="509E2501" w14:textId="48EEA933" w:rsidR="004D34EE" w:rsidRDefault="00867C6A" w:rsidP="004D34EE">
      <w:r>
        <w:t xml:space="preserve">Amend the Transfer Payment Agreement with the Province. </w:t>
      </w:r>
    </w:p>
    <w:p w14:paraId="06DDE2C5" w14:textId="77777777" w:rsidR="00BB4F2A" w:rsidRPr="004D34EE" w:rsidRDefault="00BB4F2A" w:rsidP="004D34EE"/>
    <w:p w14:paraId="5A569A65" w14:textId="0AD98C46" w:rsidR="006A6928" w:rsidRDefault="00AC3A8B" w:rsidP="003950B0">
      <w:pPr>
        <w:pStyle w:val="Heading2"/>
        <w:keepNext w:val="0"/>
        <w:widowControl w:val="0"/>
      </w:pPr>
      <w:r w:rsidRPr="00B0378D">
        <w:t>Financial</w:t>
      </w:r>
      <w:r w:rsidR="00CD64E9">
        <w:t xml:space="preserve"> and Resource Implications</w:t>
      </w:r>
    </w:p>
    <w:p w14:paraId="784A27B1" w14:textId="4FE197A7" w:rsidR="00867C6A" w:rsidRDefault="00742242" w:rsidP="00FB79D7">
      <w:r>
        <w:t xml:space="preserve">Approval </w:t>
      </w:r>
      <w:r w:rsidR="004D34EE">
        <w:t>that</w:t>
      </w:r>
      <w:r>
        <w:t xml:space="preserve"> $8</w:t>
      </w:r>
      <w:r w:rsidR="00F109EC">
        <w:t>29,320</w:t>
      </w:r>
      <w:r w:rsidR="004D34EE">
        <w:t xml:space="preserve"> in OPHI unbudgeted funds be approved for use in 2019.</w:t>
      </w:r>
    </w:p>
    <w:p w14:paraId="1C83C04E" w14:textId="4C85ED55" w:rsidR="00867C6A" w:rsidRDefault="00BB4F2A" w:rsidP="00FB79D7">
      <w:r>
        <w:t>That additional</w:t>
      </w:r>
      <w:r w:rsidR="00867C6A">
        <w:t xml:space="preserve"> COCHI unbudgeted funds be approved for use in 2019</w:t>
      </w:r>
    </w:p>
    <w:p w14:paraId="56E710A7" w14:textId="2BB27548" w:rsidR="00FB79D7" w:rsidRPr="00FB79D7" w:rsidRDefault="004D34EE" w:rsidP="00FB79D7">
      <w:r>
        <w:t xml:space="preserve"> The funds are 100% Provincial</w:t>
      </w:r>
      <w:r w:rsidR="00083288">
        <w:t xml:space="preserve">. </w:t>
      </w:r>
    </w:p>
    <w:p w14:paraId="0284D931" w14:textId="420C59F3" w:rsidR="00AC3A8B" w:rsidRPr="00580AAD" w:rsidRDefault="002E32B0" w:rsidP="006E00FA">
      <w:pPr>
        <w:pStyle w:val="Heading2"/>
        <w:keepNext w:val="0"/>
        <w:widowControl w:val="0"/>
      </w:pPr>
      <w:r>
        <w:t>Relevant Consultation</w:t>
      </w:r>
    </w:p>
    <w:p w14:paraId="0284D932" w14:textId="619D2D52" w:rsidR="00AC3A8B" w:rsidRDefault="00013DA6" w:rsidP="006E00FA">
      <w:pPr>
        <w:widowControl w:val="0"/>
      </w:pPr>
      <w:sdt>
        <w:sdtPr>
          <w:id w:val="-1131168753"/>
          <w14:checkbox>
            <w14:checked w14:val="0"/>
            <w14:checkedState w14:val="2612" w14:font="MS Gothic"/>
            <w14:uncheckedState w14:val="2610" w14:font="MS Gothic"/>
          </w14:checkbox>
        </w:sdtPr>
        <w:sdtEndPr/>
        <w:sdtContent>
          <w:r w:rsidR="00575C6B">
            <w:rPr>
              <w:rFonts w:ascii="MS Gothic" w:eastAsia="MS Gothic" w:hAnsi="MS Gothic" w:hint="eastAsia"/>
            </w:rPr>
            <w:t>☐</w:t>
          </w:r>
        </w:sdtContent>
      </w:sdt>
      <w:r w:rsidR="002E32B0">
        <w:t xml:space="preserve"> Internal</w:t>
      </w:r>
      <w:r w:rsidR="00F0067C">
        <w:t>:</w:t>
      </w:r>
    </w:p>
    <w:p w14:paraId="0EDC5921" w14:textId="2C0F8BFC" w:rsidR="00904594" w:rsidRDefault="00013DA6" w:rsidP="004828CD">
      <w:pPr>
        <w:widowControl w:val="0"/>
      </w:pPr>
      <w:sdt>
        <w:sdtPr>
          <w:id w:val="-650440191"/>
          <w14:checkbox>
            <w14:checked w14:val="1"/>
            <w14:checkedState w14:val="2612" w14:font="MS Gothic"/>
            <w14:uncheckedState w14:val="2610" w14:font="MS Gothic"/>
          </w14:checkbox>
        </w:sdtPr>
        <w:sdtEndPr/>
        <w:sdtContent>
          <w:r w:rsidR="004D34EE">
            <w:rPr>
              <w:rFonts w:ascii="MS Gothic" w:eastAsia="MS Gothic" w:hAnsi="MS Gothic" w:hint="eastAsia"/>
            </w:rPr>
            <w:t>☒</w:t>
          </w:r>
        </w:sdtContent>
      </w:sdt>
      <w:r w:rsidR="002E32B0">
        <w:t xml:space="preserve"> External</w:t>
      </w:r>
      <w:r w:rsidR="00F0067C">
        <w:t xml:space="preserve">: </w:t>
      </w:r>
      <w:r w:rsidR="004D34EE">
        <w:t>Ministry of Municipal Affairs and Housing Staff</w:t>
      </w:r>
      <w:r w:rsidR="009D116A">
        <w:t>, Owen Sound Housing Company</w:t>
      </w:r>
    </w:p>
    <w:sectPr w:rsidR="00904594" w:rsidSect="00C453F2">
      <w:headerReference w:type="default" r:id="rId10"/>
      <w:footerReference w:type="default" r:id="rId11"/>
      <w:pgSz w:w="12240" w:h="15840" w:code="1"/>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E878" w14:textId="77777777" w:rsidR="00C73DA2" w:rsidRDefault="00C73DA2" w:rsidP="00883D8D">
      <w:pPr>
        <w:spacing w:after="0" w:line="240" w:lineRule="auto"/>
      </w:pPr>
      <w:r>
        <w:separator/>
      </w:r>
    </w:p>
    <w:p w14:paraId="128C3BDB" w14:textId="77777777" w:rsidR="00C73DA2" w:rsidRDefault="00C73DA2"/>
  </w:endnote>
  <w:endnote w:type="continuationSeparator" w:id="0">
    <w:p w14:paraId="5C0F8BA2" w14:textId="77777777" w:rsidR="00C73DA2" w:rsidRDefault="00C73DA2" w:rsidP="00883D8D">
      <w:pPr>
        <w:spacing w:after="0" w:line="240" w:lineRule="auto"/>
      </w:pPr>
      <w:r>
        <w:continuationSeparator/>
      </w:r>
    </w:p>
    <w:p w14:paraId="5B6CB917" w14:textId="77777777" w:rsidR="00C73DA2" w:rsidRDefault="00C73DA2"/>
  </w:endnote>
  <w:endnote w:type="continuationNotice" w:id="1">
    <w:p w14:paraId="7150D4C7" w14:textId="77777777" w:rsidR="00C73DA2" w:rsidRDefault="00C73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Arial"/>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D941" w14:textId="1595D78C" w:rsidR="00C73DA2" w:rsidRPr="007E4720" w:rsidRDefault="00C73DA2" w:rsidP="007E4720">
    <w:pPr>
      <w:pStyle w:val="Footer"/>
    </w:pPr>
    <w:r>
      <w:t>HDR-CW-</w:t>
    </w:r>
    <w:r w:rsidR="00742242">
      <w:t>12</w:t>
    </w:r>
    <w:r>
      <w:t>-19</w:t>
    </w:r>
    <w:r>
      <w:ptab w:relativeTo="margin" w:alignment="center" w:leader="none"/>
    </w:r>
    <w:r>
      <w:ptab w:relativeTo="margin" w:alignment="right" w:leader="none"/>
    </w:r>
    <w:r>
      <w:t xml:space="preserve">Date: </w:t>
    </w:r>
    <w:r w:rsidR="00742242">
      <w:t>November 14</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E01D" w14:textId="77777777" w:rsidR="00C73DA2" w:rsidRDefault="00C73DA2" w:rsidP="00883D8D">
      <w:pPr>
        <w:spacing w:after="0" w:line="240" w:lineRule="auto"/>
      </w:pPr>
      <w:r>
        <w:separator/>
      </w:r>
    </w:p>
    <w:p w14:paraId="7DCB81BD" w14:textId="77777777" w:rsidR="00C73DA2" w:rsidRDefault="00C73DA2"/>
  </w:footnote>
  <w:footnote w:type="continuationSeparator" w:id="0">
    <w:p w14:paraId="5A4B8685" w14:textId="77777777" w:rsidR="00C73DA2" w:rsidRDefault="00C73DA2" w:rsidP="00883D8D">
      <w:pPr>
        <w:spacing w:after="0" w:line="240" w:lineRule="auto"/>
      </w:pPr>
      <w:r>
        <w:continuationSeparator/>
      </w:r>
    </w:p>
    <w:p w14:paraId="1E748A77" w14:textId="77777777" w:rsidR="00C73DA2" w:rsidRDefault="00C73DA2"/>
  </w:footnote>
  <w:footnote w:type="continuationNotice" w:id="1">
    <w:p w14:paraId="6A556AF2" w14:textId="77777777" w:rsidR="00C73DA2" w:rsidRDefault="00C73D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E1DD" w14:textId="77777777" w:rsidR="00C73DA2" w:rsidRDefault="00C73DA2">
    <w:pPr>
      <w:pStyle w:val="Header"/>
      <w:rPr>
        <w:lang w:val="en-CA"/>
      </w:rPr>
    </w:pPr>
  </w:p>
  <w:p w14:paraId="388D8580" w14:textId="77777777" w:rsidR="00C73DA2" w:rsidRPr="00947BFA" w:rsidRDefault="00C73DA2">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1AF"/>
    <w:multiLevelType w:val="hybridMultilevel"/>
    <w:tmpl w:val="CAFA86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04366F"/>
    <w:multiLevelType w:val="hybridMultilevel"/>
    <w:tmpl w:val="0E5A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1324FC"/>
    <w:multiLevelType w:val="hybridMultilevel"/>
    <w:tmpl w:val="08340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31CEC"/>
    <w:multiLevelType w:val="hybridMultilevel"/>
    <w:tmpl w:val="09F41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AF510F"/>
    <w:multiLevelType w:val="hybridMultilevel"/>
    <w:tmpl w:val="A412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414C69"/>
    <w:multiLevelType w:val="hybridMultilevel"/>
    <w:tmpl w:val="5100F6A8"/>
    <w:lvl w:ilvl="0" w:tplc="50228E7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E21C55"/>
    <w:multiLevelType w:val="hybridMultilevel"/>
    <w:tmpl w:val="B690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99156F5"/>
    <w:multiLevelType w:val="hybridMultilevel"/>
    <w:tmpl w:val="8CE81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263283"/>
    <w:multiLevelType w:val="hybridMultilevel"/>
    <w:tmpl w:val="C400C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D5B3E7D"/>
    <w:multiLevelType w:val="hybridMultilevel"/>
    <w:tmpl w:val="F3EA1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335291"/>
    <w:multiLevelType w:val="hybridMultilevel"/>
    <w:tmpl w:val="C400C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230C0"/>
    <w:multiLevelType w:val="hybridMultilevel"/>
    <w:tmpl w:val="BF70D0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56332EB"/>
    <w:multiLevelType w:val="hybridMultilevel"/>
    <w:tmpl w:val="2BF26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38E"/>
    <w:multiLevelType w:val="hybridMultilevel"/>
    <w:tmpl w:val="CA7A2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18"/>
  </w:num>
  <w:num w:numId="5">
    <w:abstractNumId w:val="2"/>
  </w:num>
  <w:num w:numId="6">
    <w:abstractNumId w:val="15"/>
  </w:num>
  <w:num w:numId="7">
    <w:abstractNumId w:val="12"/>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9"/>
  </w:num>
  <w:num w:numId="14">
    <w:abstractNumId w:val="1"/>
  </w:num>
  <w:num w:numId="15">
    <w:abstractNumId w:val="22"/>
  </w:num>
  <w:num w:numId="16">
    <w:abstractNumId w:val="17"/>
  </w:num>
  <w:num w:numId="17">
    <w:abstractNumId w:val="16"/>
  </w:num>
  <w:num w:numId="18">
    <w:abstractNumId w:val="4"/>
  </w:num>
  <w:num w:numId="19">
    <w:abstractNumId w:val="19"/>
  </w:num>
  <w:num w:numId="20">
    <w:abstractNumId w:val="8"/>
  </w:num>
  <w:num w:numId="21">
    <w:abstractNumId w:val="11"/>
  </w:num>
  <w:num w:numId="22">
    <w:abstractNumId w:val="1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3DA6"/>
    <w:rsid w:val="00027EA0"/>
    <w:rsid w:val="00030869"/>
    <w:rsid w:val="000347A2"/>
    <w:rsid w:val="000364F5"/>
    <w:rsid w:val="000373E5"/>
    <w:rsid w:val="00043B00"/>
    <w:rsid w:val="00044E9D"/>
    <w:rsid w:val="00045990"/>
    <w:rsid w:val="00047A0A"/>
    <w:rsid w:val="00051989"/>
    <w:rsid w:val="00081FCF"/>
    <w:rsid w:val="00082848"/>
    <w:rsid w:val="00082BD5"/>
    <w:rsid w:val="00083288"/>
    <w:rsid w:val="00085C13"/>
    <w:rsid w:val="00093EE5"/>
    <w:rsid w:val="000B6D8D"/>
    <w:rsid w:val="000B7684"/>
    <w:rsid w:val="000B7C11"/>
    <w:rsid w:val="000C3C55"/>
    <w:rsid w:val="000C3D46"/>
    <w:rsid w:val="000C4FDE"/>
    <w:rsid w:val="000C7ECE"/>
    <w:rsid w:val="000D1A43"/>
    <w:rsid w:val="000D1C43"/>
    <w:rsid w:val="000D56FE"/>
    <w:rsid w:val="000E1633"/>
    <w:rsid w:val="000E49FE"/>
    <w:rsid w:val="000F738B"/>
    <w:rsid w:val="00106719"/>
    <w:rsid w:val="00111415"/>
    <w:rsid w:val="00112A86"/>
    <w:rsid w:val="00113B17"/>
    <w:rsid w:val="00113FCB"/>
    <w:rsid w:val="00115B1F"/>
    <w:rsid w:val="001160B6"/>
    <w:rsid w:val="0012151B"/>
    <w:rsid w:val="00124103"/>
    <w:rsid w:val="001244DB"/>
    <w:rsid w:val="001272D9"/>
    <w:rsid w:val="001438DB"/>
    <w:rsid w:val="001579D3"/>
    <w:rsid w:val="00160D92"/>
    <w:rsid w:val="00164ADB"/>
    <w:rsid w:val="00164BA5"/>
    <w:rsid w:val="00172968"/>
    <w:rsid w:val="0017310C"/>
    <w:rsid w:val="00173F35"/>
    <w:rsid w:val="00175138"/>
    <w:rsid w:val="0018681D"/>
    <w:rsid w:val="00193360"/>
    <w:rsid w:val="00196134"/>
    <w:rsid w:val="001A5FE3"/>
    <w:rsid w:val="001A697A"/>
    <w:rsid w:val="001B6223"/>
    <w:rsid w:val="001C44DB"/>
    <w:rsid w:val="001C558D"/>
    <w:rsid w:val="001C6AAD"/>
    <w:rsid w:val="001C700C"/>
    <w:rsid w:val="001F08C4"/>
    <w:rsid w:val="001F1D7C"/>
    <w:rsid w:val="001F3971"/>
    <w:rsid w:val="00222B25"/>
    <w:rsid w:val="00233343"/>
    <w:rsid w:val="00246F72"/>
    <w:rsid w:val="00247CA8"/>
    <w:rsid w:val="00252F69"/>
    <w:rsid w:val="002534F9"/>
    <w:rsid w:val="002542CF"/>
    <w:rsid w:val="00256509"/>
    <w:rsid w:val="00257F90"/>
    <w:rsid w:val="00260C1B"/>
    <w:rsid w:val="00267421"/>
    <w:rsid w:val="00275B3A"/>
    <w:rsid w:val="00286FBD"/>
    <w:rsid w:val="00287CAE"/>
    <w:rsid w:val="002905A8"/>
    <w:rsid w:val="002915BC"/>
    <w:rsid w:val="00293DA6"/>
    <w:rsid w:val="002966A9"/>
    <w:rsid w:val="002A05E0"/>
    <w:rsid w:val="002A2531"/>
    <w:rsid w:val="002A3F7B"/>
    <w:rsid w:val="002A57D3"/>
    <w:rsid w:val="002B4091"/>
    <w:rsid w:val="002B48DA"/>
    <w:rsid w:val="002C173F"/>
    <w:rsid w:val="002C6064"/>
    <w:rsid w:val="002C778E"/>
    <w:rsid w:val="002D386A"/>
    <w:rsid w:val="002D6C79"/>
    <w:rsid w:val="002E20E4"/>
    <w:rsid w:val="002E32B0"/>
    <w:rsid w:val="002F6F99"/>
    <w:rsid w:val="00301AB2"/>
    <w:rsid w:val="003062A4"/>
    <w:rsid w:val="0031311E"/>
    <w:rsid w:val="0032700D"/>
    <w:rsid w:val="00332006"/>
    <w:rsid w:val="003360E6"/>
    <w:rsid w:val="003374F7"/>
    <w:rsid w:val="00355761"/>
    <w:rsid w:val="003710B8"/>
    <w:rsid w:val="003731A6"/>
    <w:rsid w:val="0038211D"/>
    <w:rsid w:val="00387B2F"/>
    <w:rsid w:val="0039061D"/>
    <w:rsid w:val="003950B0"/>
    <w:rsid w:val="003978A3"/>
    <w:rsid w:val="003A256F"/>
    <w:rsid w:val="003D05F8"/>
    <w:rsid w:val="003D0AAA"/>
    <w:rsid w:val="003D7165"/>
    <w:rsid w:val="003E1753"/>
    <w:rsid w:val="003E202F"/>
    <w:rsid w:val="003F0FC2"/>
    <w:rsid w:val="003F1854"/>
    <w:rsid w:val="00402DC0"/>
    <w:rsid w:val="00403572"/>
    <w:rsid w:val="0040538F"/>
    <w:rsid w:val="004113E4"/>
    <w:rsid w:val="00411AE5"/>
    <w:rsid w:val="00412676"/>
    <w:rsid w:val="00413084"/>
    <w:rsid w:val="0043023B"/>
    <w:rsid w:val="004302B0"/>
    <w:rsid w:val="0043379B"/>
    <w:rsid w:val="004374FF"/>
    <w:rsid w:val="00440DF4"/>
    <w:rsid w:val="00446A72"/>
    <w:rsid w:val="00457F2B"/>
    <w:rsid w:val="0046392B"/>
    <w:rsid w:val="00464176"/>
    <w:rsid w:val="00465AD0"/>
    <w:rsid w:val="004828CD"/>
    <w:rsid w:val="00483383"/>
    <w:rsid w:val="00484F05"/>
    <w:rsid w:val="0048548F"/>
    <w:rsid w:val="004872EA"/>
    <w:rsid w:val="00492859"/>
    <w:rsid w:val="004942B7"/>
    <w:rsid w:val="00497B64"/>
    <w:rsid w:val="004A21F7"/>
    <w:rsid w:val="004A4EE0"/>
    <w:rsid w:val="004B1DDD"/>
    <w:rsid w:val="004B32A0"/>
    <w:rsid w:val="004C30E5"/>
    <w:rsid w:val="004C552A"/>
    <w:rsid w:val="004D1C8C"/>
    <w:rsid w:val="004D34EE"/>
    <w:rsid w:val="004D4640"/>
    <w:rsid w:val="004D767E"/>
    <w:rsid w:val="004F083D"/>
    <w:rsid w:val="004F0A93"/>
    <w:rsid w:val="004F3521"/>
    <w:rsid w:val="0050045A"/>
    <w:rsid w:val="0050436D"/>
    <w:rsid w:val="00507654"/>
    <w:rsid w:val="0051126C"/>
    <w:rsid w:val="00517B1A"/>
    <w:rsid w:val="005205F2"/>
    <w:rsid w:val="0054208A"/>
    <w:rsid w:val="00543738"/>
    <w:rsid w:val="00562CF4"/>
    <w:rsid w:val="00563210"/>
    <w:rsid w:val="00563D1D"/>
    <w:rsid w:val="005647FE"/>
    <w:rsid w:val="00567AB5"/>
    <w:rsid w:val="00570A4F"/>
    <w:rsid w:val="005755CE"/>
    <w:rsid w:val="00575C6B"/>
    <w:rsid w:val="00575F5B"/>
    <w:rsid w:val="0058133F"/>
    <w:rsid w:val="00591303"/>
    <w:rsid w:val="00594A9F"/>
    <w:rsid w:val="005A360A"/>
    <w:rsid w:val="005B40A2"/>
    <w:rsid w:val="005C3760"/>
    <w:rsid w:val="005D4C8F"/>
    <w:rsid w:val="005E2C99"/>
    <w:rsid w:val="005E474C"/>
    <w:rsid w:val="005E4AC8"/>
    <w:rsid w:val="005E7520"/>
    <w:rsid w:val="005F2126"/>
    <w:rsid w:val="00601331"/>
    <w:rsid w:val="0060653E"/>
    <w:rsid w:val="00607C13"/>
    <w:rsid w:val="00610323"/>
    <w:rsid w:val="00623FC8"/>
    <w:rsid w:val="0062655A"/>
    <w:rsid w:val="00637EF9"/>
    <w:rsid w:val="00640CE5"/>
    <w:rsid w:val="00644370"/>
    <w:rsid w:val="00644BF3"/>
    <w:rsid w:val="0064559D"/>
    <w:rsid w:val="00650B83"/>
    <w:rsid w:val="00651E6C"/>
    <w:rsid w:val="006563A9"/>
    <w:rsid w:val="00663677"/>
    <w:rsid w:val="0066541E"/>
    <w:rsid w:val="00666AFC"/>
    <w:rsid w:val="00674A40"/>
    <w:rsid w:val="00683F3E"/>
    <w:rsid w:val="00684A3A"/>
    <w:rsid w:val="00686D52"/>
    <w:rsid w:val="006A0FC5"/>
    <w:rsid w:val="006A515A"/>
    <w:rsid w:val="006A6928"/>
    <w:rsid w:val="006B4C34"/>
    <w:rsid w:val="006B6ACA"/>
    <w:rsid w:val="006D2AD9"/>
    <w:rsid w:val="006D6372"/>
    <w:rsid w:val="006E00FA"/>
    <w:rsid w:val="006F2655"/>
    <w:rsid w:val="006F40BC"/>
    <w:rsid w:val="006F4C72"/>
    <w:rsid w:val="006F5635"/>
    <w:rsid w:val="006F565E"/>
    <w:rsid w:val="00700EF5"/>
    <w:rsid w:val="00713FA2"/>
    <w:rsid w:val="00715D1C"/>
    <w:rsid w:val="00735B4D"/>
    <w:rsid w:val="00742242"/>
    <w:rsid w:val="007534D1"/>
    <w:rsid w:val="00765586"/>
    <w:rsid w:val="00777A5B"/>
    <w:rsid w:val="0078765F"/>
    <w:rsid w:val="0079372D"/>
    <w:rsid w:val="007B0E26"/>
    <w:rsid w:val="007C0501"/>
    <w:rsid w:val="007C3957"/>
    <w:rsid w:val="007D3F98"/>
    <w:rsid w:val="007E2535"/>
    <w:rsid w:val="007E288A"/>
    <w:rsid w:val="007E4720"/>
    <w:rsid w:val="007F1E37"/>
    <w:rsid w:val="007F2542"/>
    <w:rsid w:val="00816221"/>
    <w:rsid w:val="00816DA7"/>
    <w:rsid w:val="00823AAF"/>
    <w:rsid w:val="008262F4"/>
    <w:rsid w:val="0083142D"/>
    <w:rsid w:val="00834B23"/>
    <w:rsid w:val="008411D8"/>
    <w:rsid w:val="008414FB"/>
    <w:rsid w:val="00856D48"/>
    <w:rsid w:val="008617EE"/>
    <w:rsid w:val="008618B7"/>
    <w:rsid w:val="00867C6A"/>
    <w:rsid w:val="00882C8D"/>
    <w:rsid w:val="00883D8D"/>
    <w:rsid w:val="00886B6C"/>
    <w:rsid w:val="00892B1A"/>
    <w:rsid w:val="00895616"/>
    <w:rsid w:val="0089690F"/>
    <w:rsid w:val="008A4AF8"/>
    <w:rsid w:val="008A5863"/>
    <w:rsid w:val="008B1C7C"/>
    <w:rsid w:val="008B234E"/>
    <w:rsid w:val="008C2CCB"/>
    <w:rsid w:val="008C3B88"/>
    <w:rsid w:val="008D39B5"/>
    <w:rsid w:val="008D60C9"/>
    <w:rsid w:val="008E017A"/>
    <w:rsid w:val="008E6A08"/>
    <w:rsid w:val="008E6B64"/>
    <w:rsid w:val="008F4F43"/>
    <w:rsid w:val="00903C9B"/>
    <w:rsid w:val="00904594"/>
    <w:rsid w:val="00911E52"/>
    <w:rsid w:val="00924649"/>
    <w:rsid w:val="00926823"/>
    <w:rsid w:val="00926A30"/>
    <w:rsid w:val="009323A8"/>
    <w:rsid w:val="00947BFA"/>
    <w:rsid w:val="00953DFC"/>
    <w:rsid w:val="00954CDD"/>
    <w:rsid w:val="00961F3E"/>
    <w:rsid w:val="00985AC3"/>
    <w:rsid w:val="00986AAD"/>
    <w:rsid w:val="00993C10"/>
    <w:rsid w:val="0099658A"/>
    <w:rsid w:val="00996AF5"/>
    <w:rsid w:val="009A31DB"/>
    <w:rsid w:val="009A68FF"/>
    <w:rsid w:val="009B0141"/>
    <w:rsid w:val="009B48E5"/>
    <w:rsid w:val="009B5473"/>
    <w:rsid w:val="009D116A"/>
    <w:rsid w:val="009D1900"/>
    <w:rsid w:val="009D44EB"/>
    <w:rsid w:val="009D7CD1"/>
    <w:rsid w:val="009F0CC6"/>
    <w:rsid w:val="009F435A"/>
    <w:rsid w:val="009F48CD"/>
    <w:rsid w:val="00A0702E"/>
    <w:rsid w:val="00A07044"/>
    <w:rsid w:val="00A153DC"/>
    <w:rsid w:val="00A20B07"/>
    <w:rsid w:val="00A3748A"/>
    <w:rsid w:val="00A45CB1"/>
    <w:rsid w:val="00A52D13"/>
    <w:rsid w:val="00A607A3"/>
    <w:rsid w:val="00A63BE0"/>
    <w:rsid w:val="00A63DD6"/>
    <w:rsid w:val="00A664EE"/>
    <w:rsid w:val="00A70F57"/>
    <w:rsid w:val="00A72765"/>
    <w:rsid w:val="00A7299A"/>
    <w:rsid w:val="00A73DF7"/>
    <w:rsid w:val="00A8272E"/>
    <w:rsid w:val="00A85D36"/>
    <w:rsid w:val="00A91FED"/>
    <w:rsid w:val="00A963E1"/>
    <w:rsid w:val="00AA5AE4"/>
    <w:rsid w:val="00AA5E09"/>
    <w:rsid w:val="00AB2197"/>
    <w:rsid w:val="00AB3738"/>
    <w:rsid w:val="00AC0D0E"/>
    <w:rsid w:val="00AC3A8B"/>
    <w:rsid w:val="00AC58A6"/>
    <w:rsid w:val="00AD0E20"/>
    <w:rsid w:val="00AD305E"/>
    <w:rsid w:val="00AE74DC"/>
    <w:rsid w:val="00AF5E3E"/>
    <w:rsid w:val="00B04C46"/>
    <w:rsid w:val="00B05953"/>
    <w:rsid w:val="00B12CC6"/>
    <w:rsid w:val="00B5059F"/>
    <w:rsid w:val="00B531B7"/>
    <w:rsid w:val="00B64986"/>
    <w:rsid w:val="00B6736F"/>
    <w:rsid w:val="00B73A85"/>
    <w:rsid w:val="00B74737"/>
    <w:rsid w:val="00B7545F"/>
    <w:rsid w:val="00B809B1"/>
    <w:rsid w:val="00B91401"/>
    <w:rsid w:val="00B97093"/>
    <w:rsid w:val="00B97DD0"/>
    <w:rsid w:val="00BA3FDB"/>
    <w:rsid w:val="00BB4F2A"/>
    <w:rsid w:val="00BC321F"/>
    <w:rsid w:val="00BC45F2"/>
    <w:rsid w:val="00BD0FB2"/>
    <w:rsid w:val="00BD1794"/>
    <w:rsid w:val="00BD6F3B"/>
    <w:rsid w:val="00BE79E0"/>
    <w:rsid w:val="00BF229B"/>
    <w:rsid w:val="00C11FC7"/>
    <w:rsid w:val="00C12F4F"/>
    <w:rsid w:val="00C26029"/>
    <w:rsid w:val="00C26F47"/>
    <w:rsid w:val="00C279E1"/>
    <w:rsid w:val="00C332F3"/>
    <w:rsid w:val="00C44DA2"/>
    <w:rsid w:val="00C453F2"/>
    <w:rsid w:val="00C46516"/>
    <w:rsid w:val="00C50668"/>
    <w:rsid w:val="00C54981"/>
    <w:rsid w:val="00C64783"/>
    <w:rsid w:val="00C64BDC"/>
    <w:rsid w:val="00C67264"/>
    <w:rsid w:val="00C71D0A"/>
    <w:rsid w:val="00C72E16"/>
    <w:rsid w:val="00C73DA2"/>
    <w:rsid w:val="00C76891"/>
    <w:rsid w:val="00C8381C"/>
    <w:rsid w:val="00C8550C"/>
    <w:rsid w:val="00C9555E"/>
    <w:rsid w:val="00CA3D01"/>
    <w:rsid w:val="00CA64E3"/>
    <w:rsid w:val="00CD04E6"/>
    <w:rsid w:val="00CD4F26"/>
    <w:rsid w:val="00CD64E9"/>
    <w:rsid w:val="00CD650D"/>
    <w:rsid w:val="00CE2E5F"/>
    <w:rsid w:val="00CE439D"/>
    <w:rsid w:val="00CF0319"/>
    <w:rsid w:val="00CF0CF7"/>
    <w:rsid w:val="00CF4AA5"/>
    <w:rsid w:val="00D0692A"/>
    <w:rsid w:val="00D1345D"/>
    <w:rsid w:val="00D14915"/>
    <w:rsid w:val="00D21FB6"/>
    <w:rsid w:val="00D22019"/>
    <w:rsid w:val="00D238D5"/>
    <w:rsid w:val="00D308B4"/>
    <w:rsid w:val="00D366AC"/>
    <w:rsid w:val="00D4050A"/>
    <w:rsid w:val="00D4452A"/>
    <w:rsid w:val="00D45EB6"/>
    <w:rsid w:val="00D54BA8"/>
    <w:rsid w:val="00D56745"/>
    <w:rsid w:val="00D60848"/>
    <w:rsid w:val="00D63172"/>
    <w:rsid w:val="00D7417B"/>
    <w:rsid w:val="00D76DCF"/>
    <w:rsid w:val="00D84CC1"/>
    <w:rsid w:val="00D85F8F"/>
    <w:rsid w:val="00DA5E52"/>
    <w:rsid w:val="00DB09B1"/>
    <w:rsid w:val="00DB6BF5"/>
    <w:rsid w:val="00DB7228"/>
    <w:rsid w:val="00DC1FF0"/>
    <w:rsid w:val="00DD5B51"/>
    <w:rsid w:val="00DD6953"/>
    <w:rsid w:val="00DF0357"/>
    <w:rsid w:val="00DF2913"/>
    <w:rsid w:val="00DF462F"/>
    <w:rsid w:val="00E0627E"/>
    <w:rsid w:val="00E1172E"/>
    <w:rsid w:val="00E15726"/>
    <w:rsid w:val="00E1676A"/>
    <w:rsid w:val="00E20BE8"/>
    <w:rsid w:val="00E2618E"/>
    <w:rsid w:val="00E30E17"/>
    <w:rsid w:val="00E32F4D"/>
    <w:rsid w:val="00E401F2"/>
    <w:rsid w:val="00E42DA3"/>
    <w:rsid w:val="00E54635"/>
    <w:rsid w:val="00E55872"/>
    <w:rsid w:val="00E55CDC"/>
    <w:rsid w:val="00E60F9D"/>
    <w:rsid w:val="00E61725"/>
    <w:rsid w:val="00E61F72"/>
    <w:rsid w:val="00E62621"/>
    <w:rsid w:val="00E641BD"/>
    <w:rsid w:val="00E67DBC"/>
    <w:rsid w:val="00E702D5"/>
    <w:rsid w:val="00E80407"/>
    <w:rsid w:val="00E91DB3"/>
    <w:rsid w:val="00EA254A"/>
    <w:rsid w:val="00EA5AB2"/>
    <w:rsid w:val="00EB4C6C"/>
    <w:rsid w:val="00EC48E3"/>
    <w:rsid w:val="00EE21D4"/>
    <w:rsid w:val="00EE414A"/>
    <w:rsid w:val="00EF1570"/>
    <w:rsid w:val="00EF437D"/>
    <w:rsid w:val="00F0067C"/>
    <w:rsid w:val="00F04830"/>
    <w:rsid w:val="00F109EC"/>
    <w:rsid w:val="00F1580A"/>
    <w:rsid w:val="00F16D3B"/>
    <w:rsid w:val="00F33A8C"/>
    <w:rsid w:val="00F4118E"/>
    <w:rsid w:val="00F46E48"/>
    <w:rsid w:val="00F51913"/>
    <w:rsid w:val="00F56871"/>
    <w:rsid w:val="00F6577B"/>
    <w:rsid w:val="00F6646E"/>
    <w:rsid w:val="00F66EB0"/>
    <w:rsid w:val="00F81320"/>
    <w:rsid w:val="00F91054"/>
    <w:rsid w:val="00F917DA"/>
    <w:rsid w:val="00F954CA"/>
    <w:rsid w:val="00F96978"/>
    <w:rsid w:val="00FA0DCB"/>
    <w:rsid w:val="00FB203E"/>
    <w:rsid w:val="00FB37C0"/>
    <w:rsid w:val="00FB423A"/>
    <w:rsid w:val="00FB79D7"/>
    <w:rsid w:val="00FC118B"/>
    <w:rsid w:val="00FD5A65"/>
    <w:rsid w:val="00FD6F8F"/>
    <w:rsid w:val="00FE0A54"/>
    <w:rsid w:val="00FE0F9D"/>
    <w:rsid w:val="00FE2822"/>
    <w:rsid w:val="00FE5323"/>
    <w:rsid w:val="00FE6650"/>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DA9D69AD-D0B3-40E4-B757-0A073911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DA6"/>
    <w:rPr>
      <w:rFonts w:ascii="Arial" w:hAnsi="Arial"/>
      <w:sz w:val="24"/>
      <w:szCs w:val="24"/>
    </w:rPr>
  </w:style>
  <w:style w:type="paragraph" w:styleId="Heading1">
    <w:name w:val="heading 1"/>
    <w:basedOn w:val="Normal"/>
    <w:next w:val="Normal"/>
    <w:link w:val="Heading1Char"/>
    <w:uiPriority w:val="9"/>
    <w:qFormat/>
    <w:rsid w:val="00013DA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13DA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13DA6"/>
    <w:pPr>
      <w:outlineLvl w:val="2"/>
    </w:pPr>
    <w:rPr>
      <w:rFonts w:cs="Arial"/>
      <w:i w:val="0"/>
    </w:rPr>
  </w:style>
  <w:style w:type="paragraph" w:styleId="Heading4">
    <w:name w:val="heading 4"/>
    <w:basedOn w:val="Normal"/>
    <w:next w:val="Normal"/>
    <w:link w:val="Heading4Char"/>
    <w:uiPriority w:val="9"/>
    <w:unhideWhenUsed/>
    <w:qFormat/>
    <w:rsid w:val="00013DA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13DA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13DA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13DA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13DA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13DA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13D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DA6"/>
  </w:style>
  <w:style w:type="character" w:customStyle="1" w:styleId="Heading1Char">
    <w:name w:val="Heading 1 Char"/>
    <w:basedOn w:val="DefaultParagraphFont"/>
    <w:link w:val="Heading1"/>
    <w:uiPriority w:val="9"/>
    <w:rsid w:val="00013DA6"/>
    <w:rPr>
      <w:rFonts w:ascii="Arial" w:eastAsiaTheme="majorEastAsia" w:hAnsi="Arial" w:cstheme="majorBidi"/>
      <w:sz w:val="40"/>
    </w:rPr>
  </w:style>
  <w:style w:type="character" w:customStyle="1" w:styleId="Heading2Char">
    <w:name w:val="Heading 2 Char"/>
    <w:basedOn w:val="DefaultParagraphFont"/>
    <w:link w:val="Heading2"/>
    <w:uiPriority w:val="9"/>
    <w:rsid w:val="00013DA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13DA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13DA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13DA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13DA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13DA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13DA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13DA6"/>
    <w:rPr>
      <w:rFonts w:ascii="Arial" w:eastAsiaTheme="majorEastAsia" w:hAnsi="Arial" w:cstheme="majorBidi"/>
      <w:i/>
      <w:iCs/>
      <w:sz w:val="24"/>
    </w:rPr>
  </w:style>
  <w:style w:type="paragraph" w:styleId="Title">
    <w:name w:val="Title"/>
    <w:basedOn w:val="Normal"/>
    <w:next w:val="Normal"/>
    <w:link w:val="TitleChar"/>
    <w:uiPriority w:val="9"/>
    <w:qFormat/>
    <w:rsid w:val="00013DA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13DA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13DA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13DA6"/>
    <w:rPr>
      <w:rFonts w:ascii="Arial" w:eastAsiaTheme="majorEastAsia" w:hAnsi="Arial" w:cstheme="majorBidi"/>
      <w:i/>
      <w:iCs/>
      <w:spacing w:val="15"/>
      <w:sz w:val="24"/>
      <w:szCs w:val="24"/>
    </w:rPr>
  </w:style>
  <w:style w:type="character" w:styleId="Strong">
    <w:name w:val="Strong"/>
    <w:basedOn w:val="DefaultParagraphFont"/>
    <w:uiPriority w:val="22"/>
    <w:qFormat/>
    <w:rsid w:val="00013DA6"/>
    <w:rPr>
      <w:rFonts w:ascii="Arial" w:hAnsi="Arial"/>
      <w:b/>
      <w:bCs/>
    </w:rPr>
  </w:style>
  <w:style w:type="character" w:styleId="Emphasis">
    <w:name w:val="Emphasis"/>
    <w:basedOn w:val="DefaultParagraphFont"/>
    <w:uiPriority w:val="20"/>
    <w:qFormat/>
    <w:rsid w:val="00013DA6"/>
    <w:rPr>
      <w:rFonts w:ascii="Arial" w:hAnsi="Arial"/>
      <w:i/>
      <w:iCs/>
    </w:rPr>
  </w:style>
  <w:style w:type="paragraph" w:styleId="NoSpacing">
    <w:name w:val="No Spacing"/>
    <w:uiPriority w:val="1"/>
    <w:qFormat/>
    <w:rsid w:val="00013DA6"/>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013DA6"/>
    <w:pPr>
      <w:ind w:left="720"/>
      <w:contextualSpacing/>
    </w:pPr>
  </w:style>
  <w:style w:type="paragraph" w:styleId="Quote">
    <w:name w:val="Quote"/>
    <w:basedOn w:val="Normal"/>
    <w:next w:val="Normal"/>
    <w:link w:val="QuoteChar"/>
    <w:uiPriority w:val="29"/>
    <w:qFormat/>
    <w:rsid w:val="00013DA6"/>
    <w:rPr>
      <w:i/>
      <w:iCs/>
      <w:color w:val="000000" w:themeColor="text1"/>
    </w:rPr>
  </w:style>
  <w:style w:type="character" w:customStyle="1" w:styleId="QuoteChar">
    <w:name w:val="Quote Char"/>
    <w:basedOn w:val="DefaultParagraphFont"/>
    <w:link w:val="Quote"/>
    <w:uiPriority w:val="29"/>
    <w:rsid w:val="00013DA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13DA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13DA6"/>
    <w:rPr>
      <w:rFonts w:ascii="Arial" w:hAnsi="Arial"/>
      <w:b/>
      <w:bCs/>
      <w:i/>
      <w:iCs/>
      <w:sz w:val="24"/>
      <w:szCs w:val="24"/>
    </w:rPr>
  </w:style>
  <w:style w:type="character" w:styleId="SubtleEmphasis">
    <w:name w:val="Subtle Emphasis"/>
    <w:basedOn w:val="DefaultParagraphFont"/>
    <w:uiPriority w:val="19"/>
    <w:qFormat/>
    <w:rsid w:val="00013DA6"/>
    <w:rPr>
      <w:rFonts w:ascii="Arial" w:hAnsi="Arial"/>
      <w:i/>
      <w:iCs/>
      <w:color w:val="808080" w:themeColor="text1" w:themeTint="7F"/>
    </w:rPr>
  </w:style>
  <w:style w:type="character" w:styleId="IntenseEmphasis">
    <w:name w:val="Intense Emphasis"/>
    <w:basedOn w:val="DefaultParagraphFont"/>
    <w:uiPriority w:val="21"/>
    <w:qFormat/>
    <w:rsid w:val="00013DA6"/>
    <w:rPr>
      <w:rFonts w:ascii="Arial" w:hAnsi="Arial"/>
      <w:b/>
      <w:bCs/>
    </w:rPr>
  </w:style>
  <w:style w:type="character" w:styleId="SubtleReference">
    <w:name w:val="Subtle Reference"/>
    <w:basedOn w:val="DefaultParagraphFont"/>
    <w:uiPriority w:val="31"/>
    <w:qFormat/>
    <w:rsid w:val="00013DA6"/>
    <w:rPr>
      <w:rFonts w:ascii="Arial" w:hAnsi="Arial"/>
      <w:smallCaps/>
      <w:color w:val="C0504D" w:themeColor="accent2"/>
      <w:u w:val="single"/>
    </w:rPr>
  </w:style>
  <w:style w:type="character" w:styleId="Hyperlink">
    <w:name w:val="Hyperlink"/>
    <w:basedOn w:val="DefaultParagraphFont"/>
    <w:uiPriority w:val="99"/>
    <w:unhideWhenUsed/>
    <w:rsid w:val="00013DA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13DA6"/>
    <w:rPr>
      <w:b/>
      <w:bCs/>
      <w:smallCaps/>
      <w:color w:val="C0504D" w:themeColor="accent2"/>
      <w:spacing w:val="5"/>
      <w:u w:val="single"/>
    </w:rPr>
  </w:style>
  <w:style w:type="character" w:styleId="BookTitle">
    <w:name w:val="Book Title"/>
    <w:basedOn w:val="DefaultParagraphFont"/>
    <w:uiPriority w:val="33"/>
    <w:qFormat/>
    <w:rsid w:val="00013DA6"/>
    <w:rPr>
      <w:b/>
      <w:bCs/>
      <w:smallCaps/>
      <w:spacing w:val="5"/>
    </w:rPr>
  </w:style>
  <w:style w:type="character" w:styleId="FollowedHyperlink">
    <w:name w:val="FollowedHyperlink"/>
    <w:basedOn w:val="DefaultParagraphFont"/>
    <w:uiPriority w:val="99"/>
    <w:semiHidden/>
    <w:unhideWhenUsed/>
    <w:rsid w:val="00013DA6"/>
    <w:rPr>
      <w:color w:val="800080" w:themeColor="followedHyperlink"/>
      <w:u w:val="single"/>
    </w:rPr>
  </w:style>
  <w:style w:type="paragraph" w:customStyle="1" w:styleId="AppleFill">
    <w:name w:val="Apple Fill"/>
    <w:basedOn w:val="Normal"/>
    <w:link w:val="AppleFillChar"/>
    <w:uiPriority w:val="10"/>
    <w:qFormat/>
    <w:rsid w:val="00013DA6"/>
    <w:rPr>
      <w:b/>
      <w:color w:val="FFFFFF" w:themeColor="background1"/>
      <w:shd w:val="clear" w:color="auto" w:fill="9BBB59" w:themeFill="accent3"/>
    </w:rPr>
  </w:style>
  <w:style w:type="paragraph" w:customStyle="1" w:styleId="AquaFill">
    <w:name w:val="Aqua Fill"/>
    <w:basedOn w:val="Normal"/>
    <w:link w:val="AquaFillChar"/>
    <w:uiPriority w:val="10"/>
    <w:qFormat/>
    <w:rsid w:val="00013DA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13DA6"/>
    <w:rPr>
      <w:rFonts w:ascii="Arial" w:hAnsi="Arial"/>
      <w:b/>
      <w:color w:val="FFFFFF" w:themeColor="background1"/>
      <w:sz w:val="24"/>
      <w:szCs w:val="24"/>
    </w:rPr>
  </w:style>
  <w:style w:type="paragraph" w:customStyle="1" w:styleId="WineFill">
    <w:name w:val="Wine Fill"/>
    <w:basedOn w:val="Normal"/>
    <w:link w:val="WineFillChar"/>
    <w:uiPriority w:val="9"/>
    <w:qFormat/>
    <w:rsid w:val="00013DA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13DA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13DA6"/>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Default">
    <w:name w:val="Default"/>
    <w:rsid w:val="00085C13"/>
    <w:pPr>
      <w:autoSpaceDE w:val="0"/>
      <w:autoSpaceDN w:val="0"/>
      <w:adjustRightInd w:val="0"/>
      <w:spacing w:after="0" w:line="240" w:lineRule="auto"/>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085C13"/>
    <w:pPr>
      <w:spacing w:after="120"/>
    </w:pPr>
  </w:style>
  <w:style w:type="character" w:customStyle="1" w:styleId="BodyTextChar">
    <w:name w:val="Body Text Char"/>
    <w:basedOn w:val="DefaultParagraphFont"/>
    <w:link w:val="BodyText"/>
    <w:uiPriority w:val="99"/>
    <w:semiHidden/>
    <w:rsid w:val="00085C13"/>
    <w:rPr>
      <w:rFonts w:ascii="Arial" w:hAnsi="Arial"/>
      <w:sz w:val="24"/>
      <w:szCs w:val="24"/>
    </w:rPr>
  </w:style>
  <w:style w:type="paragraph" w:styleId="NormalWeb">
    <w:name w:val="Normal (Web)"/>
    <w:basedOn w:val="Normal"/>
    <w:uiPriority w:val="99"/>
    <w:unhideWhenUsed/>
    <w:rsid w:val="00C453F2"/>
    <w:pPr>
      <w:spacing w:before="100" w:beforeAutospacing="1" w:after="100" w:afterAutospacing="1" w:line="240" w:lineRule="auto"/>
    </w:pPr>
    <w:rPr>
      <w:rFonts w:ascii="Times New Roman" w:hAnsi="Times New Roman" w:cs="Times New Roman"/>
      <w:lang w:val="en-CA" w:eastAsia="en-CA"/>
    </w:rPr>
  </w:style>
  <w:style w:type="character" w:customStyle="1" w:styleId="ListParagraphChar">
    <w:name w:val="List Paragraph Char"/>
    <w:basedOn w:val="DefaultParagraphFont"/>
    <w:link w:val="ListParagraph"/>
    <w:uiPriority w:val="34"/>
    <w:rsid w:val="00985AC3"/>
    <w:rPr>
      <w:rFonts w:ascii="Arial" w:hAnsi="Arial"/>
      <w:sz w:val="24"/>
      <w:szCs w:val="24"/>
    </w:rPr>
  </w:style>
  <w:style w:type="character" w:styleId="UnresolvedMention">
    <w:name w:val="Unresolved Mention"/>
    <w:basedOn w:val="DefaultParagraphFont"/>
    <w:uiPriority w:val="99"/>
    <w:semiHidden/>
    <w:unhideWhenUsed/>
    <w:rsid w:val="009B0141"/>
    <w:rPr>
      <w:color w:val="605E5C"/>
      <w:shd w:val="clear" w:color="auto" w:fill="E1DFDD"/>
    </w:rPr>
  </w:style>
  <w:style w:type="table" w:styleId="GridTable1Light">
    <w:name w:val="Grid Table 1 Light"/>
    <w:basedOn w:val="TableNormal"/>
    <w:uiPriority w:val="46"/>
    <w:rsid w:val="00D445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142032">
      <w:bodyDiv w:val="1"/>
      <w:marLeft w:val="0"/>
      <w:marRight w:val="0"/>
      <w:marTop w:val="0"/>
      <w:marBottom w:val="0"/>
      <w:divBdr>
        <w:top w:val="none" w:sz="0" w:space="0" w:color="auto"/>
        <w:left w:val="none" w:sz="0" w:space="0" w:color="auto"/>
        <w:bottom w:val="none" w:sz="0" w:space="0" w:color="auto"/>
        <w:right w:val="none" w:sz="0" w:space="0" w:color="auto"/>
      </w:divBdr>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620571596">
      <w:bodyDiv w:val="1"/>
      <w:marLeft w:val="0"/>
      <w:marRight w:val="0"/>
      <w:marTop w:val="0"/>
      <w:marBottom w:val="0"/>
      <w:divBdr>
        <w:top w:val="none" w:sz="0" w:space="0" w:color="auto"/>
        <w:left w:val="none" w:sz="0" w:space="0" w:color="auto"/>
        <w:bottom w:val="none" w:sz="0" w:space="0" w:color="auto"/>
        <w:right w:val="none" w:sz="0" w:space="0" w:color="auto"/>
      </w:divBdr>
      <w:divsChild>
        <w:div w:id="1661494684">
          <w:marLeft w:val="0"/>
          <w:marRight w:val="0"/>
          <w:marTop w:val="0"/>
          <w:marBottom w:val="0"/>
          <w:divBdr>
            <w:top w:val="none" w:sz="0" w:space="0" w:color="auto"/>
            <w:left w:val="none" w:sz="0" w:space="0" w:color="auto"/>
            <w:bottom w:val="none" w:sz="0" w:space="0" w:color="auto"/>
            <w:right w:val="none" w:sz="0" w:space="0" w:color="auto"/>
          </w:divBdr>
          <w:divsChild>
            <w:div w:id="1251040128">
              <w:marLeft w:val="150"/>
              <w:marRight w:val="150"/>
              <w:marTop w:val="100"/>
              <w:marBottom w:val="100"/>
              <w:divBdr>
                <w:top w:val="none" w:sz="0" w:space="0" w:color="auto"/>
                <w:left w:val="none" w:sz="0" w:space="0" w:color="auto"/>
                <w:bottom w:val="none" w:sz="0" w:space="0" w:color="auto"/>
                <w:right w:val="none" w:sz="0" w:space="0" w:color="auto"/>
              </w:divBdr>
              <w:divsChild>
                <w:div w:id="456074004">
                  <w:marLeft w:val="0"/>
                  <w:marRight w:val="0"/>
                  <w:marTop w:val="0"/>
                  <w:marBottom w:val="0"/>
                  <w:divBdr>
                    <w:top w:val="none" w:sz="0" w:space="0" w:color="auto"/>
                    <w:left w:val="none" w:sz="0" w:space="0" w:color="auto"/>
                    <w:bottom w:val="none" w:sz="0" w:space="0" w:color="auto"/>
                    <w:right w:val="none" w:sz="0" w:space="0" w:color="auto"/>
                  </w:divBdr>
                  <w:divsChild>
                    <w:div w:id="2021151941">
                      <w:marLeft w:val="0"/>
                      <w:marRight w:val="0"/>
                      <w:marTop w:val="0"/>
                      <w:marBottom w:val="0"/>
                      <w:divBdr>
                        <w:top w:val="none" w:sz="0" w:space="0" w:color="auto"/>
                        <w:left w:val="none" w:sz="0" w:space="0" w:color="auto"/>
                        <w:bottom w:val="none" w:sz="0" w:space="0" w:color="auto"/>
                        <w:right w:val="none" w:sz="0" w:space="0" w:color="auto"/>
                      </w:divBdr>
                      <w:divsChild>
                        <w:div w:id="1825466221">
                          <w:marLeft w:val="1"/>
                          <w:marRight w:val="0"/>
                          <w:marTop w:val="0"/>
                          <w:marBottom w:val="0"/>
                          <w:divBdr>
                            <w:top w:val="none" w:sz="0" w:space="0" w:color="auto"/>
                            <w:left w:val="none" w:sz="0" w:space="0" w:color="auto"/>
                            <w:bottom w:val="none" w:sz="0" w:space="0" w:color="auto"/>
                            <w:right w:val="none" w:sz="0" w:space="0" w:color="auto"/>
                          </w:divBdr>
                          <w:divsChild>
                            <w:div w:id="1779792067">
                              <w:marLeft w:val="0"/>
                              <w:marRight w:val="0"/>
                              <w:marTop w:val="0"/>
                              <w:marBottom w:val="0"/>
                              <w:divBdr>
                                <w:top w:val="none" w:sz="0" w:space="0" w:color="auto"/>
                                <w:left w:val="none" w:sz="0" w:space="0" w:color="auto"/>
                                <w:bottom w:val="none" w:sz="0" w:space="0" w:color="auto"/>
                                <w:right w:val="none" w:sz="0" w:space="0" w:color="auto"/>
                              </w:divBdr>
                              <w:divsChild>
                                <w:div w:id="1908222358">
                                  <w:marLeft w:val="0"/>
                                  <w:marRight w:val="0"/>
                                  <w:marTop w:val="0"/>
                                  <w:marBottom w:val="0"/>
                                  <w:divBdr>
                                    <w:top w:val="none" w:sz="0" w:space="0" w:color="auto"/>
                                    <w:left w:val="none" w:sz="0" w:space="0" w:color="auto"/>
                                    <w:bottom w:val="none" w:sz="0" w:space="0" w:color="auto"/>
                                    <w:right w:val="none" w:sz="0" w:space="0" w:color="auto"/>
                                  </w:divBdr>
                                  <w:divsChild>
                                    <w:div w:id="1462728909">
                                      <w:marLeft w:val="0"/>
                                      <w:marRight w:val="0"/>
                                      <w:marTop w:val="0"/>
                                      <w:marBottom w:val="0"/>
                                      <w:divBdr>
                                        <w:top w:val="none" w:sz="0" w:space="0" w:color="auto"/>
                                        <w:left w:val="none" w:sz="0" w:space="0" w:color="auto"/>
                                        <w:bottom w:val="none" w:sz="0" w:space="0" w:color="auto"/>
                                        <w:right w:val="none" w:sz="0" w:space="0" w:color="auto"/>
                                      </w:divBdr>
                                      <w:divsChild>
                                        <w:div w:id="1634168241">
                                          <w:marLeft w:val="0"/>
                                          <w:marRight w:val="0"/>
                                          <w:marTop w:val="0"/>
                                          <w:marBottom w:val="0"/>
                                          <w:divBdr>
                                            <w:top w:val="none" w:sz="0" w:space="0" w:color="auto"/>
                                            <w:left w:val="none" w:sz="0" w:space="0" w:color="auto"/>
                                            <w:bottom w:val="none" w:sz="0" w:space="0" w:color="auto"/>
                                            <w:right w:val="none" w:sz="0" w:space="0" w:color="auto"/>
                                          </w:divBdr>
                                          <w:divsChild>
                                            <w:div w:id="1634172399">
                                              <w:marLeft w:val="0"/>
                                              <w:marRight w:val="0"/>
                                              <w:marTop w:val="0"/>
                                              <w:marBottom w:val="0"/>
                                              <w:divBdr>
                                                <w:top w:val="none" w:sz="0" w:space="0" w:color="auto"/>
                                                <w:left w:val="none" w:sz="0" w:space="0" w:color="auto"/>
                                                <w:bottom w:val="none" w:sz="0" w:space="0" w:color="auto"/>
                                                <w:right w:val="none" w:sz="0" w:space="0" w:color="auto"/>
                                              </w:divBdr>
                                              <w:divsChild>
                                                <w:div w:id="587035105">
                                                  <w:marLeft w:val="0"/>
                                                  <w:marRight w:val="0"/>
                                                  <w:marTop w:val="0"/>
                                                  <w:marBottom w:val="0"/>
                                                  <w:divBdr>
                                                    <w:top w:val="none" w:sz="0" w:space="0" w:color="auto"/>
                                                    <w:left w:val="none" w:sz="0" w:space="0" w:color="auto"/>
                                                    <w:bottom w:val="none" w:sz="0" w:space="0" w:color="auto"/>
                                                    <w:right w:val="none" w:sz="0" w:space="0" w:color="auto"/>
                                                  </w:divBdr>
                                                  <w:divsChild>
                                                    <w:div w:id="2067530339">
                                                      <w:marLeft w:val="0"/>
                                                      <w:marRight w:val="0"/>
                                                      <w:marTop w:val="0"/>
                                                      <w:marBottom w:val="0"/>
                                                      <w:divBdr>
                                                        <w:top w:val="none" w:sz="0" w:space="0" w:color="auto"/>
                                                        <w:left w:val="none" w:sz="0" w:space="0" w:color="auto"/>
                                                        <w:bottom w:val="none" w:sz="0" w:space="0" w:color="auto"/>
                                                        <w:right w:val="none" w:sz="0" w:space="0" w:color="auto"/>
                                                      </w:divBdr>
                                                    </w:div>
                                                    <w:div w:id="579757807">
                                                      <w:marLeft w:val="0"/>
                                                      <w:marRight w:val="0"/>
                                                      <w:marTop w:val="0"/>
                                                      <w:marBottom w:val="0"/>
                                                      <w:divBdr>
                                                        <w:top w:val="none" w:sz="0" w:space="0" w:color="auto"/>
                                                        <w:left w:val="none" w:sz="0" w:space="0" w:color="auto"/>
                                                        <w:bottom w:val="none" w:sz="0" w:space="0" w:color="auto"/>
                                                        <w:right w:val="none" w:sz="0" w:space="0" w:color="auto"/>
                                                      </w:divBdr>
                                                    </w:div>
                                                    <w:div w:id="36055179">
                                                      <w:marLeft w:val="0"/>
                                                      <w:marRight w:val="0"/>
                                                      <w:marTop w:val="0"/>
                                                      <w:marBottom w:val="0"/>
                                                      <w:divBdr>
                                                        <w:top w:val="none" w:sz="0" w:space="0" w:color="auto"/>
                                                        <w:left w:val="none" w:sz="0" w:space="0" w:color="auto"/>
                                                        <w:bottom w:val="none" w:sz="0" w:space="0" w:color="auto"/>
                                                        <w:right w:val="none" w:sz="0" w:space="0" w:color="auto"/>
                                                      </w:divBdr>
                                                    </w:div>
                                                    <w:div w:id="1886020911">
                                                      <w:marLeft w:val="0"/>
                                                      <w:marRight w:val="0"/>
                                                      <w:marTop w:val="0"/>
                                                      <w:marBottom w:val="0"/>
                                                      <w:divBdr>
                                                        <w:top w:val="none" w:sz="0" w:space="0" w:color="auto"/>
                                                        <w:left w:val="none" w:sz="0" w:space="0" w:color="auto"/>
                                                        <w:bottom w:val="none" w:sz="0" w:space="0" w:color="auto"/>
                                                        <w:right w:val="none" w:sz="0" w:space="0" w:color="auto"/>
                                                      </w:divBdr>
                                                    </w:div>
                                                    <w:div w:id="1456872887">
                                                      <w:marLeft w:val="0"/>
                                                      <w:marRight w:val="0"/>
                                                      <w:marTop w:val="0"/>
                                                      <w:marBottom w:val="0"/>
                                                      <w:divBdr>
                                                        <w:top w:val="none" w:sz="0" w:space="0" w:color="auto"/>
                                                        <w:left w:val="none" w:sz="0" w:space="0" w:color="auto"/>
                                                        <w:bottom w:val="none" w:sz="0" w:space="0" w:color="auto"/>
                                                        <w:right w:val="none" w:sz="0" w:space="0" w:color="auto"/>
                                                      </w:divBdr>
                                                    </w:div>
                                                    <w:div w:id="306596885">
                                                      <w:marLeft w:val="0"/>
                                                      <w:marRight w:val="0"/>
                                                      <w:marTop w:val="0"/>
                                                      <w:marBottom w:val="0"/>
                                                      <w:divBdr>
                                                        <w:top w:val="none" w:sz="0" w:space="0" w:color="auto"/>
                                                        <w:left w:val="none" w:sz="0" w:space="0" w:color="auto"/>
                                                        <w:bottom w:val="none" w:sz="0" w:space="0" w:color="auto"/>
                                                        <w:right w:val="none" w:sz="0" w:space="0" w:color="auto"/>
                                                      </w:divBdr>
                                                    </w:div>
                                                    <w:div w:id="13600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681292">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89891141">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738116">
      <w:bodyDiv w:val="1"/>
      <w:marLeft w:val="0"/>
      <w:marRight w:val="0"/>
      <w:marTop w:val="0"/>
      <w:marBottom w:val="0"/>
      <w:divBdr>
        <w:top w:val="none" w:sz="0" w:space="0" w:color="auto"/>
        <w:left w:val="none" w:sz="0" w:space="0" w:color="auto"/>
        <w:bottom w:val="none" w:sz="0" w:space="0" w:color="auto"/>
        <w:right w:val="none" w:sz="0" w:space="0" w:color="auto"/>
      </w:divBdr>
    </w:div>
    <w:div w:id="1451894017">
      <w:bodyDiv w:val="1"/>
      <w:marLeft w:val="0"/>
      <w:marRight w:val="0"/>
      <w:marTop w:val="0"/>
      <w:marBottom w:val="0"/>
      <w:divBdr>
        <w:top w:val="none" w:sz="0" w:space="0" w:color="auto"/>
        <w:left w:val="none" w:sz="0" w:space="0" w:color="auto"/>
        <w:bottom w:val="none" w:sz="0" w:space="0" w:color="auto"/>
        <w:right w:val="none" w:sz="0" w:space="0" w:color="auto"/>
      </w:divBdr>
    </w:div>
    <w:div w:id="1554392632">
      <w:bodyDiv w:val="1"/>
      <w:marLeft w:val="0"/>
      <w:marRight w:val="0"/>
      <w:marTop w:val="0"/>
      <w:marBottom w:val="0"/>
      <w:divBdr>
        <w:top w:val="none" w:sz="0" w:space="0" w:color="auto"/>
        <w:left w:val="none" w:sz="0" w:space="0" w:color="auto"/>
        <w:bottom w:val="none" w:sz="0" w:space="0" w:color="auto"/>
        <w:right w:val="none" w:sz="0" w:space="0" w:color="auto"/>
      </w:divBdr>
    </w:div>
    <w:div w:id="1566144759">
      <w:bodyDiv w:val="1"/>
      <w:marLeft w:val="0"/>
      <w:marRight w:val="0"/>
      <w:marTop w:val="0"/>
      <w:marBottom w:val="0"/>
      <w:divBdr>
        <w:top w:val="none" w:sz="0" w:space="0" w:color="auto"/>
        <w:left w:val="none" w:sz="0" w:space="0" w:color="auto"/>
        <w:bottom w:val="none" w:sz="0" w:space="0" w:color="auto"/>
        <w:right w:val="none" w:sz="0" w:space="0" w:color="auto"/>
      </w:divBdr>
    </w:div>
    <w:div w:id="1685087056">
      <w:bodyDiv w:val="1"/>
      <w:marLeft w:val="0"/>
      <w:marRight w:val="0"/>
      <w:marTop w:val="0"/>
      <w:marBottom w:val="0"/>
      <w:divBdr>
        <w:top w:val="none" w:sz="0" w:space="0" w:color="auto"/>
        <w:left w:val="none" w:sz="0" w:space="0" w:color="auto"/>
        <w:bottom w:val="none" w:sz="0" w:space="0" w:color="auto"/>
        <w:right w:val="none" w:sz="0" w:space="0" w:color="auto"/>
      </w:divBdr>
    </w:div>
    <w:div w:id="1719667096">
      <w:bodyDiv w:val="1"/>
      <w:marLeft w:val="0"/>
      <w:marRight w:val="0"/>
      <w:marTop w:val="0"/>
      <w:marBottom w:val="0"/>
      <w:divBdr>
        <w:top w:val="none" w:sz="0" w:space="0" w:color="auto"/>
        <w:left w:val="none" w:sz="0" w:space="0" w:color="auto"/>
        <w:bottom w:val="none" w:sz="0" w:space="0" w:color="auto"/>
        <w:right w:val="none" w:sz="0" w:space="0" w:color="auto"/>
      </w:divBdr>
    </w:div>
    <w:div w:id="20809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y.ca/affordable-housing/affordable-housing-locations/odawa-height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GC_112019863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[2019-11-14 Committee of the Whole [7220]]</meetingId>
    <capitalProjectPriority xmlns="e6cd7bd4-3f3e-4495-b8c9-139289cd76e6" xsi:nil="true"/>
    <policyApprovalDate xmlns="e6cd7bd4-3f3e-4495-b8c9-139289cd76e6" xsi:nil="true"/>
    <NodeRef xmlns="e6cd7bd4-3f3e-4495-b8c9-139289cd76e6">b3f95fb1-7f7f-43e9-8251-e8ef2dbdcdb0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56B98C8-4588-43AD-91F9-0A97FBE0EC87}">
  <ds:schemaRefs>
    <ds:schemaRef ds:uri="http://schemas.openxmlformats.org/officeDocument/2006/bibliography"/>
  </ds:schemaRefs>
</ds:datastoreItem>
</file>

<file path=customXml/itemProps2.xml><?xml version="1.0" encoding="utf-8"?>
<ds:datastoreItem xmlns:ds="http://schemas.openxmlformats.org/officeDocument/2006/customXml" ds:itemID="{F7E74209-2D21-4CE9-87F1-F336EC82876A}"/>
</file>

<file path=customXml/itemProps3.xml><?xml version="1.0" encoding="utf-8"?>
<ds:datastoreItem xmlns:ds="http://schemas.openxmlformats.org/officeDocument/2006/customXml" ds:itemID="{CB03EB4B-28FD-4EDB-9146-D5E7382B4600}"/>
</file>

<file path=customXml/itemProps4.xml><?xml version="1.0" encoding="utf-8"?>
<ds:datastoreItem xmlns:ds="http://schemas.openxmlformats.org/officeDocument/2006/customXml" ds:itemID="{1959E3FE-A4F6-4C28-AA3F-17EA9863DCB1}"/>
</file>

<file path=customXml/itemProps5.xml><?xml version="1.0" encoding="utf-8"?>
<ds:datastoreItem xmlns:ds="http://schemas.openxmlformats.org/officeDocument/2006/customXml" ds:itemID="{391CB551-2959-4226-A06A-0B3703C4A621}"/>
</file>

<file path=docProps/app.xml><?xml version="1.0" encoding="utf-8"?>
<Properties xmlns="http://schemas.openxmlformats.org/officeDocument/2006/extended-properties" xmlns:vt="http://schemas.openxmlformats.org/officeDocument/2006/docPropsVTypes">
  <Template>Normal</Template>
  <TotalTime>260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24</cp:revision>
  <cp:lastPrinted>2019-05-16T15:25:00Z</cp:lastPrinted>
  <dcterms:created xsi:type="dcterms:W3CDTF">2019-10-24T15:09:00Z</dcterms:created>
  <dcterms:modified xsi:type="dcterms:W3CDTF">2020-01-17T14:59:00Z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