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7DAA" w14:textId="77777777" w:rsidR="00EF2B1E" w:rsidRPr="00EF2B1E" w:rsidRDefault="00EF2B1E" w:rsidP="00EF2B1E">
      <w:pPr>
        <w:pStyle w:val="Title"/>
        <w:jc w:val="both"/>
        <w:rPr>
          <w:rStyle w:val="IntenseEmphasis"/>
          <w:b w:val="0"/>
        </w:rPr>
      </w:pPr>
      <w:r w:rsidRPr="00EF2B1E">
        <w:rPr>
          <w:noProof/>
          <w:lang w:val="en-CA" w:eastAsia="en-CA"/>
        </w:rPr>
        <w:drawing>
          <wp:inline distT="0" distB="0" distL="0" distR="0" wp14:anchorId="1D667DD6" wp14:editId="1D667DD7">
            <wp:extent cx="1971675" cy="723900"/>
            <wp:effectExtent l="0" t="0" r="9525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tenseEmphasis"/>
          <w:b w:val="0"/>
        </w:rPr>
        <w:tab/>
      </w:r>
      <w:r w:rsidRPr="00EF2B1E">
        <w:rPr>
          <w:rStyle w:val="IntenseEmphasis"/>
          <w:b w:val="0"/>
        </w:rPr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ittee Report Details"/>
      </w:tblPr>
      <w:tblGrid>
        <w:gridCol w:w="2844"/>
        <w:gridCol w:w="6506"/>
      </w:tblGrid>
      <w:tr w:rsidR="00EF2B1E" w14:paraId="1D667DAD" w14:textId="77777777" w:rsidTr="009F7C7E">
        <w:trPr>
          <w:tblHeader/>
        </w:trPr>
        <w:tc>
          <w:tcPr>
            <w:tcW w:w="2898" w:type="dxa"/>
          </w:tcPr>
          <w:p w14:paraId="1D667DAB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To:</w:t>
            </w:r>
          </w:p>
        </w:tc>
        <w:tc>
          <w:tcPr>
            <w:tcW w:w="6678" w:type="dxa"/>
          </w:tcPr>
          <w:p w14:paraId="1D667DAC" w14:textId="348399BD" w:rsidR="00EF2B1E" w:rsidRDefault="00CC63DB" w:rsidP="00802670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 xml:space="preserve">Warden </w:t>
            </w:r>
            <w:r w:rsidR="00031776">
              <w:rPr>
                <w:rStyle w:val="IntenseEmphasis"/>
                <w:b w:val="0"/>
              </w:rPr>
              <w:t>Hicks</w:t>
            </w:r>
            <w:r w:rsidR="00EF2B1E" w:rsidRPr="00EF2B1E">
              <w:rPr>
                <w:rStyle w:val="IntenseEmphasis"/>
                <w:b w:val="0"/>
              </w:rPr>
              <w:t xml:space="preserve"> and Members of Grey County Council</w:t>
            </w:r>
          </w:p>
        </w:tc>
      </w:tr>
      <w:tr w:rsidR="00EF2B1E" w14:paraId="1D667DB0" w14:textId="77777777" w:rsidTr="00EF2B1E">
        <w:tc>
          <w:tcPr>
            <w:tcW w:w="2898" w:type="dxa"/>
          </w:tcPr>
          <w:p w14:paraId="1D667DAE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Committee Date:</w:t>
            </w:r>
          </w:p>
        </w:tc>
        <w:tc>
          <w:tcPr>
            <w:tcW w:w="6678" w:type="dxa"/>
          </w:tcPr>
          <w:p w14:paraId="1D667DAF" w14:textId="24902BCE" w:rsidR="00EF2B1E" w:rsidRPr="00EF2B1E" w:rsidRDefault="00802670" w:rsidP="009F7C7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 xml:space="preserve">January </w:t>
            </w:r>
            <w:r w:rsidR="000C20E1" w:rsidRPr="000C20E1">
              <w:rPr>
                <w:rStyle w:val="IntenseEmphasis"/>
                <w:b w:val="0"/>
              </w:rPr>
              <w:t>14, 2021</w:t>
            </w:r>
          </w:p>
        </w:tc>
      </w:tr>
      <w:tr w:rsidR="00EF2B1E" w14:paraId="1D667DB3" w14:textId="77777777" w:rsidTr="00EF2B1E">
        <w:tc>
          <w:tcPr>
            <w:tcW w:w="2898" w:type="dxa"/>
          </w:tcPr>
          <w:p w14:paraId="1D667DB1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Subject / Report No:</w:t>
            </w:r>
          </w:p>
        </w:tc>
        <w:tc>
          <w:tcPr>
            <w:tcW w:w="6678" w:type="dxa"/>
          </w:tcPr>
          <w:p w14:paraId="1D667DB2" w14:textId="4DE4B50F" w:rsidR="00EF2B1E" w:rsidRPr="00EF2B1E" w:rsidRDefault="00802670" w:rsidP="009F7C7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FR-CW-</w:t>
            </w:r>
            <w:r w:rsidR="000C20E1">
              <w:rPr>
                <w:rStyle w:val="IntenseEmphasis"/>
                <w:b w:val="0"/>
              </w:rPr>
              <w:t>0</w:t>
            </w:r>
            <w:r w:rsidR="000C20E1" w:rsidRPr="00CC63DB">
              <w:rPr>
                <w:rStyle w:val="IntenseEmphasis"/>
                <w:b w:val="0"/>
                <w:bCs w:val="0"/>
              </w:rPr>
              <w:t>4-21</w:t>
            </w:r>
          </w:p>
        </w:tc>
      </w:tr>
      <w:tr w:rsidR="00EF2B1E" w14:paraId="1D667DB6" w14:textId="77777777" w:rsidTr="00EF2B1E">
        <w:tc>
          <w:tcPr>
            <w:tcW w:w="2898" w:type="dxa"/>
          </w:tcPr>
          <w:p w14:paraId="1D667DB4" w14:textId="77777777" w:rsidR="00EF2B1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Title:</w:t>
            </w:r>
          </w:p>
        </w:tc>
        <w:tc>
          <w:tcPr>
            <w:tcW w:w="6678" w:type="dxa"/>
          </w:tcPr>
          <w:p w14:paraId="1D667DB5" w14:textId="71ED0DED" w:rsidR="00EF2B1E" w:rsidRPr="00EF2B1E" w:rsidRDefault="00802670" w:rsidP="009F7C7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20</w:t>
            </w:r>
            <w:r w:rsidR="000C20E1">
              <w:rPr>
                <w:rStyle w:val="IntenseEmphasis"/>
                <w:b w:val="0"/>
              </w:rPr>
              <w:t>20</w:t>
            </w:r>
            <w:r>
              <w:rPr>
                <w:rStyle w:val="IntenseEmphasis"/>
                <w:b w:val="0"/>
              </w:rPr>
              <w:t xml:space="preserve"> Housing Write Off of Uncollectible Accounts</w:t>
            </w:r>
          </w:p>
        </w:tc>
      </w:tr>
      <w:tr w:rsidR="009F7C7E" w14:paraId="1D667DB9" w14:textId="77777777" w:rsidTr="00EF2B1E">
        <w:tc>
          <w:tcPr>
            <w:tcW w:w="2898" w:type="dxa"/>
          </w:tcPr>
          <w:p w14:paraId="1D667DB7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Prepared by:</w:t>
            </w:r>
          </w:p>
        </w:tc>
        <w:tc>
          <w:tcPr>
            <w:tcW w:w="6678" w:type="dxa"/>
          </w:tcPr>
          <w:p w14:paraId="1D667DB8" w14:textId="68188590" w:rsidR="009F7C7E" w:rsidRPr="00EF2B1E" w:rsidRDefault="006813D2" w:rsidP="009F7C7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Joanna Alpajaro</w:t>
            </w:r>
            <w:r w:rsidR="00255EAF">
              <w:rPr>
                <w:rStyle w:val="IntenseEmphasis"/>
                <w:b w:val="0"/>
              </w:rPr>
              <w:t>, Deputy Treasurer</w:t>
            </w:r>
          </w:p>
        </w:tc>
      </w:tr>
      <w:tr w:rsidR="009F7C7E" w14:paraId="1D667DBC" w14:textId="77777777" w:rsidTr="00EF2B1E">
        <w:tc>
          <w:tcPr>
            <w:tcW w:w="2898" w:type="dxa"/>
          </w:tcPr>
          <w:p w14:paraId="1D667DBA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Reviewed by:</w:t>
            </w:r>
          </w:p>
        </w:tc>
        <w:tc>
          <w:tcPr>
            <w:tcW w:w="6678" w:type="dxa"/>
          </w:tcPr>
          <w:p w14:paraId="1D667DBB" w14:textId="2E3C3998" w:rsidR="009F7C7E" w:rsidRPr="00EF2B1E" w:rsidRDefault="009F7C7E" w:rsidP="009F7C7E">
            <w:pPr>
              <w:spacing w:before="60" w:after="60"/>
              <w:rPr>
                <w:rStyle w:val="IntenseEmphasis"/>
                <w:b w:val="0"/>
              </w:rPr>
            </w:pPr>
          </w:p>
        </w:tc>
      </w:tr>
      <w:tr w:rsidR="009F7C7E" w14:paraId="1D667DBF" w14:textId="77777777" w:rsidTr="00EF2B1E">
        <w:tc>
          <w:tcPr>
            <w:tcW w:w="2898" w:type="dxa"/>
          </w:tcPr>
          <w:p w14:paraId="1D667DBD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Lower Tier(s) Affected:</w:t>
            </w:r>
          </w:p>
        </w:tc>
        <w:tc>
          <w:tcPr>
            <w:tcW w:w="6678" w:type="dxa"/>
          </w:tcPr>
          <w:p w14:paraId="1D667DBE" w14:textId="66913CFB" w:rsidR="009F7C7E" w:rsidRPr="00EF2B1E" w:rsidRDefault="00DA19DE" w:rsidP="009F7C7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Not applicable</w:t>
            </w:r>
          </w:p>
        </w:tc>
      </w:tr>
      <w:tr w:rsidR="009F7C7E" w14:paraId="1D667DC2" w14:textId="77777777" w:rsidTr="00EF2B1E">
        <w:tc>
          <w:tcPr>
            <w:tcW w:w="2898" w:type="dxa"/>
          </w:tcPr>
          <w:p w14:paraId="1D667DC0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Status:</w:t>
            </w:r>
          </w:p>
        </w:tc>
        <w:tc>
          <w:tcPr>
            <w:tcW w:w="6678" w:type="dxa"/>
          </w:tcPr>
          <w:p w14:paraId="1D667DC1" w14:textId="1492DADE" w:rsidR="009F7C7E" w:rsidRPr="005C2307" w:rsidRDefault="000718EC" w:rsidP="009E3FB9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R</w:t>
            </w:r>
            <w:r w:rsidRPr="000718EC">
              <w:rPr>
                <w:rStyle w:val="IntenseEmphasis"/>
                <w:b w:val="0"/>
                <w:bCs w:val="0"/>
              </w:rPr>
              <w:t>ecommendatio</w:t>
            </w:r>
            <w:r>
              <w:rPr>
                <w:rStyle w:val="IntenseEmphasis"/>
                <w:b w:val="0"/>
                <w:bCs w:val="0"/>
              </w:rPr>
              <w:t>n</w:t>
            </w:r>
            <w:r w:rsidRPr="000718EC">
              <w:rPr>
                <w:rStyle w:val="IntenseEmphasis"/>
                <w:b w:val="0"/>
                <w:bCs w:val="0"/>
              </w:rPr>
              <w:t xml:space="preserve"> adopted by Committee as presented per Resolution CW12-21; Endorsed by County Council January 28, 2021 per Resolution CC11-21; </w:t>
            </w:r>
          </w:p>
        </w:tc>
      </w:tr>
    </w:tbl>
    <w:p w14:paraId="1D667DC3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 xml:space="preserve">Recommendation </w:t>
      </w:r>
    </w:p>
    <w:p w14:paraId="1D667DC4" w14:textId="2FC0B6DB" w:rsidR="00EF2B1E" w:rsidRDefault="00EF2B1E" w:rsidP="00DB2736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Style w:val="IntenseEmphasis"/>
        </w:rPr>
      </w:pPr>
      <w:r w:rsidRPr="009F7C7E">
        <w:rPr>
          <w:rStyle w:val="IntenseEmphasis"/>
        </w:rPr>
        <w:t>That</w:t>
      </w:r>
      <w:r w:rsidR="00DB2736">
        <w:rPr>
          <w:rStyle w:val="IntenseEmphasis"/>
        </w:rPr>
        <w:t xml:space="preserve"> </w:t>
      </w:r>
      <w:r w:rsidR="00F75B6D">
        <w:rPr>
          <w:rStyle w:val="IntenseEmphasis"/>
        </w:rPr>
        <w:t>Report FR-CW-</w:t>
      </w:r>
      <w:r w:rsidR="000C20E1">
        <w:rPr>
          <w:rStyle w:val="IntenseEmphasis"/>
        </w:rPr>
        <w:t>04-21</w:t>
      </w:r>
      <w:r w:rsidR="00F75B6D">
        <w:rPr>
          <w:rStyle w:val="IntenseEmphasis"/>
        </w:rPr>
        <w:t xml:space="preserve"> titled 20</w:t>
      </w:r>
      <w:r w:rsidR="000C20E1">
        <w:rPr>
          <w:rStyle w:val="IntenseEmphasis"/>
        </w:rPr>
        <w:t>20</w:t>
      </w:r>
      <w:r w:rsidR="00F75B6D">
        <w:rPr>
          <w:rStyle w:val="IntenseEmphasis"/>
        </w:rPr>
        <w:t xml:space="preserve"> Housing Write Off of Uncollectible Accounts be received</w:t>
      </w:r>
      <w:r w:rsidR="00A21F4C">
        <w:rPr>
          <w:rStyle w:val="IntenseEmphasis"/>
        </w:rPr>
        <w:t>;</w:t>
      </w:r>
      <w:r w:rsidR="00F75B6D">
        <w:rPr>
          <w:rStyle w:val="IntenseEmphasis"/>
        </w:rPr>
        <w:t xml:space="preserve"> and</w:t>
      </w:r>
    </w:p>
    <w:p w14:paraId="1D667DC5" w14:textId="76F920BA" w:rsidR="00DB2736" w:rsidRPr="009F7C7E" w:rsidRDefault="00F75B6D" w:rsidP="00DB2736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Style w:val="IntenseEmphasis"/>
        </w:rPr>
      </w:pPr>
      <w:r>
        <w:rPr>
          <w:rStyle w:val="IntenseEmphasis"/>
        </w:rPr>
        <w:t>That the recommend</w:t>
      </w:r>
      <w:r w:rsidR="00BB6097">
        <w:rPr>
          <w:rStyle w:val="IntenseEmphasis"/>
        </w:rPr>
        <w:t xml:space="preserve">ed write offs in the amount </w:t>
      </w:r>
      <w:r w:rsidR="00BB6097" w:rsidRPr="00B610A4">
        <w:rPr>
          <w:rStyle w:val="IntenseEmphasis"/>
        </w:rPr>
        <w:t>of $</w:t>
      </w:r>
      <w:r w:rsidR="000C20E1">
        <w:rPr>
          <w:rStyle w:val="IntenseEmphasis"/>
        </w:rPr>
        <w:t>43,</w:t>
      </w:r>
      <w:r w:rsidR="00ED103B">
        <w:rPr>
          <w:rStyle w:val="IntenseEmphasis"/>
        </w:rPr>
        <w:t>716</w:t>
      </w:r>
      <w:r w:rsidR="00BB6097">
        <w:rPr>
          <w:rStyle w:val="IntenseEmphasis"/>
        </w:rPr>
        <w:t xml:space="preserve"> as outline</w:t>
      </w:r>
      <w:r w:rsidR="00192B0C">
        <w:rPr>
          <w:rStyle w:val="IntenseEmphasis"/>
        </w:rPr>
        <w:t>d</w:t>
      </w:r>
      <w:r w:rsidR="00BB6097">
        <w:rPr>
          <w:rStyle w:val="IntenseEmphasis"/>
        </w:rPr>
        <w:t xml:space="preserve"> in the</w:t>
      </w:r>
      <w:r>
        <w:rPr>
          <w:rStyle w:val="IntenseEmphasis"/>
        </w:rPr>
        <w:t xml:space="preserve"> report be approved.</w:t>
      </w:r>
    </w:p>
    <w:p w14:paraId="1D667DC6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 xml:space="preserve">Executive Summary </w:t>
      </w:r>
    </w:p>
    <w:p w14:paraId="1D667DC7" w14:textId="3C8E4FC2" w:rsidR="00EF2B1E" w:rsidRPr="00EF2B1E" w:rsidRDefault="00564BBC" w:rsidP="00EF2B1E">
      <w:pPr>
        <w:rPr>
          <w:rStyle w:val="IntenseEmphasis"/>
          <w:b w:val="0"/>
        </w:rPr>
      </w:pPr>
      <w:r>
        <w:rPr>
          <w:rStyle w:val="IntenseEmphasis"/>
          <w:b w:val="0"/>
        </w:rPr>
        <w:t xml:space="preserve">Balances owing from former tenants with no repayment activity are written off at year-end for accounting purposes and staff continue to work on collections.  Staff recommends </w:t>
      </w:r>
      <w:r w:rsidRPr="00B610A4">
        <w:rPr>
          <w:rStyle w:val="IntenseEmphasis"/>
          <w:b w:val="0"/>
        </w:rPr>
        <w:t>that $</w:t>
      </w:r>
      <w:r w:rsidR="000C20E1">
        <w:rPr>
          <w:rStyle w:val="IntenseEmphasis"/>
          <w:b w:val="0"/>
        </w:rPr>
        <w:t>43,</w:t>
      </w:r>
      <w:r w:rsidR="00ED103B">
        <w:rPr>
          <w:rStyle w:val="IntenseEmphasis"/>
          <w:b w:val="0"/>
        </w:rPr>
        <w:t>716</w:t>
      </w:r>
      <w:r>
        <w:rPr>
          <w:rStyle w:val="IntenseEmphasis"/>
          <w:b w:val="0"/>
        </w:rPr>
        <w:t xml:space="preserve"> in arrears be written off</w:t>
      </w:r>
      <w:r w:rsidR="00A21F4C">
        <w:rPr>
          <w:rStyle w:val="IntenseEmphasis"/>
          <w:b w:val="0"/>
        </w:rPr>
        <w:t>,</w:t>
      </w:r>
      <w:r w:rsidR="00255EAF">
        <w:rPr>
          <w:rStyle w:val="IntenseEmphasis"/>
          <w:b w:val="0"/>
        </w:rPr>
        <w:t xml:space="preserve"> </w:t>
      </w:r>
      <w:r w:rsidR="002209BF">
        <w:rPr>
          <w:rStyle w:val="IntenseEmphasis"/>
          <w:b w:val="0"/>
        </w:rPr>
        <w:t>slightly more than the</w:t>
      </w:r>
      <w:r w:rsidR="00255EAF">
        <w:rPr>
          <w:rStyle w:val="IntenseEmphasis"/>
          <w:b w:val="0"/>
        </w:rPr>
        <w:t xml:space="preserve"> budgeted amount of $</w:t>
      </w:r>
      <w:r w:rsidR="000C20E1">
        <w:rPr>
          <w:rStyle w:val="IntenseEmphasis"/>
          <w:b w:val="0"/>
        </w:rPr>
        <w:t>40,700</w:t>
      </w:r>
      <w:r w:rsidR="00C82386">
        <w:rPr>
          <w:rStyle w:val="IntenseEmphasis"/>
          <w:b w:val="0"/>
        </w:rPr>
        <w:t>.</w:t>
      </w:r>
    </w:p>
    <w:p w14:paraId="1D667DC8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>Background and Discussion</w:t>
      </w:r>
    </w:p>
    <w:p w14:paraId="16476F1A" w14:textId="09268987" w:rsidR="009C3211" w:rsidRDefault="00564BBC" w:rsidP="00DB2736">
      <w:pPr>
        <w:rPr>
          <w:rStyle w:val="IntenseEmphasis"/>
          <w:b w:val="0"/>
        </w:rPr>
      </w:pPr>
      <w:r>
        <w:rPr>
          <w:rStyle w:val="IntenseEmphasis"/>
          <w:b w:val="0"/>
        </w:rPr>
        <w:t>Staff in the Housing department review accounts receivable balances monthly and attempt to work with residents when arrears exist in order to minimize the potential for write offs.</w:t>
      </w:r>
      <w:r w:rsidR="000F15A6">
        <w:rPr>
          <w:rStyle w:val="IntenseEmphasis"/>
          <w:b w:val="0"/>
        </w:rPr>
        <w:t xml:space="preserve"> </w:t>
      </w:r>
      <w:r w:rsidR="009C3211">
        <w:rPr>
          <w:rStyle w:val="IntenseEmphasis"/>
          <w:b w:val="0"/>
        </w:rPr>
        <w:t>Most of</w:t>
      </w:r>
      <w:r w:rsidR="000F15A6">
        <w:rPr>
          <w:rStyle w:val="IntenseEmphasis"/>
          <w:b w:val="0"/>
        </w:rPr>
        <w:t xml:space="preserve"> the </w:t>
      </w:r>
      <w:r>
        <w:rPr>
          <w:rStyle w:val="IntenseEmphasis"/>
          <w:b w:val="0"/>
        </w:rPr>
        <w:t>Housing accounts receivable balances that staff recommends be written off relate to former housing tenants with charges originating between July 1, 201</w:t>
      </w:r>
      <w:r w:rsidR="002209BF">
        <w:rPr>
          <w:rStyle w:val="IntenseEmphasis"/>
          <w:b w:val="0"/>
        </w:rPr>
        <w:t>9</w:t>
      </w:r>
      <w:r>
        <w:rPr>
          <w:rStyle w:val="IntenseEmphasis"/>
          <w:b w:val="0"/>
        </w:rPr>
        <w:t xml:space="preserve"> and June </w:t>
      </w:r>
      <w:r w:rsidR="00255EAF">
        <w:rPr>
          <w:rStyle w:val="IntenseEmphasis"/>
          <w:b w:val="0"/>
        </w:rPr>
        <w:t>3</w:t>
      </w:r>
      <w:r>
        <w:rPr>
          <w:rStyle w:val="IntenseEmphasis"/>
          <w:b w:val="0"/>
        </w:rPr>
        <w:t>0, 20</w:t>
      </w:r>
      <w:r w:rsidR="002209BF">
        <w:rPr>
          <w:rStyle w:val="IntenseEmphasis"/>
          <w:b w:val="0"/>
        </w:rPr>
        <w:t>20</w:t>
      </w:r>
      <w:r>
        <w:rPr>
          <w:rStyle w:val="IntenseEmphasis"/>
          <w:b w:val="0"/>
        </w:rPr>
        <w:t xml:space="preserve"> with no repayment activity.  Although the amounts are written off for accounting purposes, attempts continue to be made to collect the receivable.  </w:t>
      </w:r>
    </w:p>
    <w:p w14:paraId="1D667DC9" w14:textId="2EB2A3EC" w:rsidR="00EF2B1E" w:rsidRDefault="00564BBC" w:rsidP="00DB2736">
      <w:pPr>
        <w:rPr>
          <w:rStyle w:val="IntenseEmphasis"/>
          <w:b w:val="0"/>
        </w:rPr>
      </w:pPr>
      <w:r>
        <w:rPr>
          <w:rStyle w:val="IntenseEmphasis"/>
          <w:b w:val="0"/>
        </w:rPr>
        <w:lastRenderedPageBreak/>
        <w:t>Previous tenants with balances owing are not eligible for subsidized housing with Grey County or other housing providers in the province until such time as payment is made or a repayment schedule is in place.</w:t>
      </w:r>
    </w:p>
    <w:p w14:paraId="515224F4" w14:textId="2434E62A" w:rsidR="00564BBC" w:rsidRDefault="00564BBC" w:rsidP="00DB2736">
      <w:pPr>
        <w:rPr>
          <w:rStyle w:val="IntenseEmphasis"/>
          <w:b w:val="0"/>
        </w:rPr>
      </w:pPr>
      <w:r>
        <w:rPr>
          <w:rStyle w:val="IntenseEmphasis"/>
          <w:b w:val="0"/>
        </w:rPr>
        <w:t xml:space="preserve">A total of </w:t>
      </w:r>
      <w:r w:rsidRPr="00B610A4">
        <w:rPr>
          <w:rStyle w:val="IntenseEmphasis"/>
          <w:b w:val="0"/>
        </w:rPr>
        <w:t>$</w:t>
      </w:r>
      <w:r w:rsidR="002209BF">
        <w:rPr>
          <w:rStyle w:val="IntenseEmphasis"/>
          <w:b w:val="0"/>
        </w:rPr>
        <w:t>43,</w:t>
      </w:r>
      <w:r w:rsidR="00906C48">
        <w:rPr>
          <w:rStyle w:val="IntenseEmphasis"/>
          <w:b w:val="0"/>
        </w:rPr>
        <w:t>716</w:t>
      </w:r>
      <w:r w:rsidR="002209BF">
        <w:rPr>
          <w:rStyle w:val="IntenseEmphasis"/>
          <w:b w:val="0"/>
        </w:rPr>
        <w:t xml:space="preserve"> meets</w:t>
      </w:r>
      <w:r>
        <w:rPr>
          <w:rStyle w:val="IntenseEmphasis"/>
          <w:b w:val="0"/>
        </w:rPr>
        <w:t xml:space="preserve"> the criteria outlined above as compared to the budgeted amount of $</w:t>
      </w:r>
      <w:r w:rsidR="002209BF">
        <w:rPr>
          <w:rStyle w:val="IntenseEmphasis"/>
          <w:b w:val="0"/>
        </w:rPr>
        <w:t>40,700</w:t>
      </w:r>
      <w:r>
        <w:rPr>
          <w:rStyle w:val="IntenseEmphasis"/>
          <w:b w:val="0"/>
        </w:rPr>
        <w:t xml:space="preserve">.  The write off is comprised </w:t>
      </w:r>
      <w:r w:rsidR="00B610A4">
        <w:rPr>
          <w:rStyle w:val="IntenseEmphasis"/>
          <w:b w:val="0"/>
        </w:rPr>
        <w:t xml:space="preserve">mostly </w:t>
      </w:r>
      <w:r w:rsidR="00B610A4" w:rsidRPr="00B610A4">
        <w:rPr>
          <w:rStyle w:val="IntenseEmphasis"/>
          <w:b w:val="0"/>
        </w:rPr>
        <w:t>of</w:t>
      </w:r>
      <w:r w:rsidRPr="00B610A4">
        <w:rPr>
          <w:rStyle w:val="IntenseEmphasis"/>
          <w:b w:val="0"/>
        </w:rPr>
        <w:t xml:space="preserve"> rental arrears</w:t>
      </w:r>
      <w:r w:rsidR="00B610A4" w:rsidRPr="00B610A4">
        <w:rPr>
          <w:rStyle w:val="IntenseEmphasis"/>
          <w:b w:val="0"/>
        </w:rPr>
        <w:t xml:space="preserve"> with s</w:t>
      </w:r>
      <w:r w:rsidR="0078354B">
        <w:rPr>
          <w:rStyle w:val="IntenseEmphasis"/>
          <w:b w:val="0"/>
        </w:rPr>
        <w:t xml:space="preserve">mall amounts for </w:t>
      </w:r>
      <w:r w:rsidRPr="00B610A4">
        <w:rPr>
          <w:rStyle w:val="IntenseEmphasis"/>
          <w:b w:val="0"/>
        </w:rPr>
        <w:t xml:space="preserve">maintenance charges </w:t>
      </w:r>
      <w:r w:rsidR="00B610A4" w:rsidRPr="00B610A4">
        <w:rPr>
          <w:rStyle w:val="IntenseEmphasis"/>
          <w:b w:val="0"/>
        </w:rPr>
        <w:t>and</w:t>
      </w:r>
      <w:r w:rsidRPr="00B610A4">
        <w:rPr>
          <w:rStyle w:val="IntenseEmphasis"/>
          <w:b w:val="0"/>
        </w:rPr>
        <w:t xml:space="preserve"> utility charges.</w:t>
      </w:r>
      <w:r>
        <w:rPr>
          <w:rStyle w:val="IntenseEmphasis"/>
          <w:b w:val="0"/>
        </w:rPr>
        <w:t xml:space="preserve"> </w:t>
      </w:r>
      <w:r w:rsidR="000F15A6">
        <w:rPr>
          <w:rStyle w:val="IntenseEmphasis"/>
          <w:b w:val="0"/>
        </w:rPr>
        <w:t xml:space="preserve"> </w:t>
      </w:r>
      <w:r w:rsidR="004D782C">
        <w:rPr>
          <w:rStyle w:val="IntenseEmphasis"/>
          <w:b w:val="0"/>
        </w:rPr>
        <w:t xml:space="preserve">This </w:t>
      </w:r>
      <w:r w:rsidR="0078354B">
        <w:rPr>
          <w:rStyle w:val="IntenseEmphasis"/>
          <w:b w:val="0"/>
        </w:rPr>
        <w:t>total write</w:t>
      </w:r>
      <w:r w:rsidR="002B713E">
        <w:rPr>
          <w:rStyle w:val="IntenseEmphasis"/>
          <w:b w:val="0"/>
        </w:rPr>
        <w:t>-</w:t>
      </w:r>
      <w:r w:rsidR="0078354B">
        <w:rPr>
          <w:rStyle w:val="IntenseEmphasis"/>
          <w:b w:val="0"/>
        </w:rPr>
        <w:t xml:space="preserve">off </w:t>
      </w:r>
      <w:r w:rsidR="004D782C">
        <w:rPr>
          <w:rStyle w:val="IntenseEmphasis"/>
          <w:b w:val="0"/>
        </w:rPr>
        <w:t>amount is 1.</w:t>
      </w:r>
      <w:r w:rsidR="002209BF">
        <w:rPr>
          <w:rStyle w:val="IntenseEmphasis"/>
          <w:b w:val="0"/>
        </w:rPr>
        <w:t>04</w:t>
      </w:r>
      <w:r w:rsidR="00B243A3" w:rsidRPr="004D782C">
        <w:rPr>
          <w:rStyle w:val="IntenseEmphasis"/>
          <w:b w:val="0"/>
        </w:rPr>
        <w:t>%</w:t>
      </w:r>
      <w:r w:rsidR="00B243A3">
        <w:rPr>
          <w:rStyle w:val="IntenseEmphasis"/>
          <w:b w:val="0"/>
        </w:rPr>
        <w:t xml:space="preserve"> </w:t>
      </w:r>
      <w:r w:rsidR="004D782C">
        <w:rPr>
          <w:rStyle w:val="IntenseEmphasis"/>
          <w:b w:val="0"/>
        </w:rPr>
        <w:t>of</w:t>
      </w:r>
      <w:r w:rsidR="00B243A3">
        <w:rPr>
          <w:rStyle w:val="IntenseEmphasis"/>
          <w:b w:val="0"/>
        </w:rPr>
        <w:t xml:space="preserve"> the budgeted rental revenue of $</w:t>
      </w:r>
      <w:r w:rsidR="00E13981">
        <w:rPr>
          <w:rStyle w:val="IntenseEmphasis"/>
          <w:b w:val="0"/>
        </w:rPr>
        <w:t>4,</w:t>
      </w:r>
      <w:r w:rsidR="002209BF">
        <w:rPr>
          <w:rStyle w:val="IntenseEmphasis"/>
          <w:b w:val="0"/>
        </w:rPr>
        <w:t>222,700</w:t>
      </w:r>
      <w:r w:rsidR="00B243A3">
        <w:rPr>
          <w:rStyle w:val="IntenseEmphasis"/>
          <w:b w:val="0"/>
        </w:rPr>
        <w:t>.  The following chart provides comparative information for the proposed</w:t>
      </w:r>
      <w:r w:rsidR="00255EAF">
        <w:rPr>
          <w:rStyle w:val="IntenseEmphasis"/>
          <w:b w:val="0"/>
        </w:rPr>
        <w:t xml:space="preserve"> 20</w:t>
      </w:r>
      <w:r w:rsidR="002209BF">
        <w:rPr>
          <w:rStyle w:val="IntenseEmphasis"/>
          <w:b w:val="0"/>
        </w:rPr>
        <w:t>20</w:t>
      </w:r>
      <w:r w:rsidR="00B243A3">
        <w:rPr>
          <w:rStyle w:val="IntenseEmphasis"/>
          <w:b w:val="0"/>
        </w:rPr>
        <w:t xml:space="preserve"> write off and the previous five years.</w:t>
      </w:r>
    </w:p>
    <w:p w14:paraId="46D6837D" w14:textId="2487C982" w:rsidR="00B243A3" w:rsidRDefault="00B243A3" w:rsidP="00DB2736">
      <w:pPr>
        <w:rPr>
          <w:rStyle w:val="IntenseEmphasis"/>
          <w:b w:val="0"/>
        </w:rPr>
      </w:pPr>
      <w:r>
        <w:rPr>
          <w:rStyle w:val="IntenseEmphasis"/>
          <w:b w:val="0"/>
        </w:rPr>
        <w:t>Summary of Housing Accounts Receivable Write Off and Bad Debt Recovery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ary of Housing Accounts Receivable Write Off and Bad Debt Recovery"/>
        <w:tblDescription w:val="Chart showing 2018 proposed write off, number of accounts written off and amount of bad debt recovery.  Five years prior presented for comparative information."/>
      </w:tblPr>
      <w:tblGrid>
        <w:gridCol w:w="1356"/>
        <w:gridCol w:w="2487"/>
        <w:gridCol w:w="2356"/>
        <w:gridCol w:w="3151"/>
      </w:tblGrid>
      <w:tr w:rsidR="00B243A3" w14:paraId="546B19B6" w14:textId="77777777" w:rsidTr="006813D2">
        <w:trPr>
          <w:tblHeader/>
        </w:trPr>
        <w:tc>
          <w:tcPr>
            <w:tcW w:w="1356" w:type="dxa"/>
          </w:tcPr>
          <w:p w14:paraId="17FD1CBD" w14:textId="715F1EEE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Year</w:t>
            </w:r>
          </w:p>
        </w:tc>
        <w:tc>
          <w:tcPr>
            <w:tcW w:w="2487" w:type="dxa"/>
          </w:tcPr>
          <w:p w14:paraId="64444E02" w14:textId="693274CA" w:rsidR="00B243A3" w:rsidRPr="008438A1" w:rsidRDefault="00B243A3" w:rsidP="00DB2736">
            <w:pPr>
              <w:rPr>
                <w:rStyle w:val="IntenseEmphasis"/>
                <w:b w:val="0"/>
              </w:rPr>
            </w:pPr>
            <w:r w:rsidRPr="008438A1">
              <w:rPr>
                <w:rStyle w:val="IntenseEmphasis"/>
                <w:b w:val="0"/>
              </w:rPr>
              <w:t>Amount of Write Off</w:t>
            </w:r>
          </w:p>
        </w:tc>
        <w:tc>
          <w:tcPr>
            <w:tcW w:w="2356" w:type="dxa"/>
          </w:tcPr>
          <w:p w14:paraId="2B718A47" w14:textId="4FB74B9D" w:rsidR="00B243A3" w:rsidRPr="008438A1" w:rsidRDefault="00B243A3" w:rsidP="00DB2736">
            <w:pPr>
              <w:rPr>
                <w:rStyle w:val="IntenseEmphasis"/>
                <w:b w:val="0"/>
              </w:rPr>
            </w:pPr>
            <w:r w:rsidRPr="008438A1">
              <w:rPr>
                <w:rStyle w:val="IntenseEmphasis"/>
                <w:b w:val="0"/>
              </w:rPr>
              <w:t>Number of Accounts Written Off</w:t>
            </w:r>
          </w:p>
        </w:tc>
        <w:tc>
          <w:tcPr>
            <w:tcW w:w="3151" w:type="dxa"/>
          </w:tcPr>
          <w:p w14:paraId="3DD2A0AE" w14:textId="45DCA4E5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Amount of Bad Debt Recovery</w:t>
            </w:r>
          </w:p>
        </w:tc>
      </w:tr>
      <w:tr w:rsidR="00ED103B" w14:paraId="30B1FA97" w14:textId="77777777" w:rsidTr="006813D2">
        <w:tc>
          <w:tcPr>
            <w:tcW w:w="1356" w:type="dxa"/>
          </w:tcPr>
          <w:p w14:paraId="79C2E4A1" w14:textId="62EF1F47" w:rsidR="00ED103B" w:rsidRPr="008438A1" w:rsidRDefault="00ED103B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2020</w:t>
            </w:r>
          </w:p>
        </w:tc>
        <w:tc>
          <w:tcPr>
            <w:tcW w:w="2487" w:type="dxa"/>
          </w:tcPr>
          <w:p w14:paraId="44C9EAF3" w14:textId="23AB9C85" w:rsidR="00ED103B" w:rsidRPr="008438A1" w:rsidRDefault="00ED103B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$43,716</w:t>
            </w:r>
          </w:p>
        </w:tc>
        <w:tc>
          <w:tcPr>
            <w:tcW w:w="2356" w:type="dxa"/>
          </w:tcPr>
          <w:p w14:paraId="11474CDD" w14:textId="5C94C65E" w:rsidR="00ED103B" w:rsidRDefault="00906C48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27</w:t>
            </w:r>
          </w:p>
        </w:tc>
        <w:tc>
          <w:tcPr>
            <w:tcW w:w="3151" w:type="dxa"/>
          </w:tcPr>
          <w:p w14:paraId="775C72EE" w14:textId="43DE4125" w:rsidR="00ED103B" w:rsidRDefault="00906C48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$3,325</w:t>
            </w:r>
          </w:p>
        </w:tc>
      </w:tr>
      <w:tr w:rsidR="006813D2" w14:paraId="73C8B36B" w14:textId="77777777" w:rsidTr="006813D2">
        <w:tc>
          <w:tcPr>
            <w:tcW w:w="1356" w:type="dxa"/>
          </w:tcPr>
          <w:p w14:paraId="5D3FE6F4" w14:textId="7F663DEA" w:rsidR="006813D2" w:rsidRPr="008438A1" w:rsidRDefault="006813D2" w:rsidP="00DB2736">
            <w:pPr>
              <w:rPr>
                <w:rStyle w:val="IntenseEmphasis"/>
                <w:b w:val="0"/>
              </w:rPr>
            </w:pPr>
            <w:r w:rsidRPr="008438A1">
              <w:rPr>
                <w:rStyle w:val="IntenseEmphasis"/>
                <w:b w:val="0"/>
              </w:rPr>
              <w:t>2019</w:t>
            </w:r>
          </w:p>
        </w:tc>
        <w:tc>
          <w:tcPr>
            <w:tcW w:w="2487" w:type="dxa"/>
          </w:tcPr>
          <w:p w14:paraId="778BFA93" w14:textId="543B6CA8" w:rsidR="006813D2" w:rsidRPr="008438A1" w:rsidRDefault="008438A1" w:rsidP="00DB2736">
            <w:pPr>
              <w:rPr>
                <w:rStyle w:val="IntenseEmphasis"/>
                <w:b w:val="0"/>
              </w:rPr>
            </w:pPr>
            <w:r w:rsidRPr="008438A1">
              <w:rPr>
                <w:rStyle w:val="IntenseEmphasis"/>
                <w:b w:val="0"/>
              </w:rPr>
              <w:t>$</w:t>
            </w:r>
            <w:r w:rsidR="00C82386">
              <w:rPr>
                <w:rStyle w:val="IntenseEmphasis"/>
                <w:b w:val="0"/>
              </w:rPr>
              <w:t>50,074</w:t>
            </w:r>
          </w:p>
        </w:tc>
        <w:tc>
          <w:tcPr>
            <w:tcW w:w="2356" w:type="dxa"/>
          </w:tcPr>
          <w:p w14:paraId="5018D4BC" w14:textId="65DB8AE2" w:rsidR="006813D2" w:rsidRPr="008438A1" w:rsidRDefault="007C5EBF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21</w:t>
            </w:r>
          </w:p>
        </w:tc>
        <w:tc>
          <w:tcPr>
            <w:tcW w:w="3151" w:type="dxa"/>
          </w:tcPr>
          <w:p w14:paraId="63A60989" w14:textId="07071874" w:rsidR="006813D2" w:rsidRDefault="00E13981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$3</w:t>
            </w:r>
            <w:r w:rsidRPr="008438A1">
              <w:rPr>
                <w:rStyle w:val="IntenseEmphasis"/>
                <w:b w:val="0"/>
              </w:rPr>
              <w:t>,</w:t>
            </w:r>
            <w:r w:rsidR="008438A1" w:rsidRPr="008438A1">
              <w:rPr>
                <w:rStyle w:val="IntenseEmphasis"/>
                <w:b w:val="0"/>
              </w:rPr>
              <w:t>2</w:t>
            </w:r>
            <w:r w:rsidR="000E3718">
              <w:rPr>
                <w:rStyle w:val="IntenseEmphasis"/>
                <w:b w:val="0"/>
              </w:rPr>
              <w:t>63</w:t>
            </w:r>
          </w:p>
        </w:tc>
      </w:tr>
      <w:tr w:rsidR="00B243A3" w14:paraId="1967A11A" w14:textId="77777777" w:rsidTr="006813D2">
        <w:tc>
          <w:tcPr>
            <w:tcW w:w="1356" w:type="dxa"/>
          </w:tcPr>
          <w:p w14:paraId="2BC6478A" w14:textId="3CAEBD62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2018</w:t>
            </w:r>
          </w:p>
        </w:tc>
        <w:tc>
          <w:tcPr>
            <w:tcW w:w="2487" w:type="dxa"/>
          </w:tcPr>
          <w:p w14:paraId="70B34C9A" w14:textId="7E89FDD3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$21,471</w:t>
            </w:r>
          </w:p>
        </w:tc>
        <w:tc>
          <w:tcPr>
            <w:tcW w:w="2356" w:type="dxa"/>
          </w:tcPr>
          <w:p w14:paraId="298E9720" w14:textId="5C941D1B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19</w:t>
            </w:r>
          </w:p>
        </w:tc>
        <w:tc>
          <w:tcPr>
            <w:tcW w:w="3151" w:type="dxa"/>
          </w:tcPr>
          <w:p w14:paraId="5E485EBF" w14:textId="37A8C628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$</w:t>
            </w:r>
            <w:r w:rsidR="00E13981">
              <w:rPr>
                <w:rStyle w:val="IntenseEmphasis"/>
                <w:b w:val="0"/>
              </w:rPr>
              <w:t>8,133</w:t>
            </w:r>
          </w:p>
        </w:tc>
      </w:tr>
      <w:tr w:rsidR="00B243A3" w14:paraId="00A45E3C" w14:textId="77777777" w:rsidTr="006813D2">
        <w:tc>
          <w:tcPr>
            <w:tcW w:w="1356" w:type="dxa"/>
          </w:tcPr>
          <w:p w14:paraId="379C2283" w14:textId="16A42A6D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2017</w:t>
            </w:r>
          </w:p>
        </w:tc>
        <w:tc>
          <w:tcPr>
            <w:tcW w:w="2487" w:type="dxa"/>
          </w:tcPr>
          <w:p w14:paraId="7BE4BAAD" w14:textId="0EDB8D2E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$63,137</w:t>
            </w:r>
          </w:p>
        </w:tc>
        <w:tc>
          <w:tcPr>
            <w:tcW w:w="2356" w:type="dxa"/>
          </w:tcPr>
          <w:p w14:paraId="10DA7CCE" w14:textId="392D8799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38</w:t>
            </w:r>
          </w:p>
        </w:tc>
        <w:tc>
          <w:tcPr>
            <w:tcW w:w="3151" w:type="dxa"/>
          </w:tcPr>
          <w:p w14:paraId="28F2AB5A" w14:textId="5FB802E4" w:rsidR="00B243A3" w:rsidRDefault="00255EAF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$2,694</w:t>
            </w:r>
          </w:p>
        </w:tc>
      </w:tr>
      <w:tr w:rsidR="00B243A3" w14:paraId="5BE56234" w14:textId="77777777" w:rsidTr="006813D2">
        <w:tc>
          <w:tcPr>
            <w:tcW w:w="1356" w:type="dxa"/>
          </w:tcPr>
          <w:p w14:paraId="3CBFE2AA" w14:textId="32FC5890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2016</w:t>
            </w:r>
          </w:p>
        </w:tc>
        <w:tc>
          <w:tcPr>
            <w:tcW w:w="2487" w:type="dxa"/>
          </w:tcPr>
          <w:p w14:paraId="28675672" w14:textId="17C3C50D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$40,900</w:t>
            </w:r>
          </w:p>
        </w:tc>
        <w:tc>
          <w:tcPr>
            <w:tcW w:w="2356" w:type="dxa"/>
          </w:tcPr>
          <w:p w14:paraId="1F6C2BAF" w14:textId="22B7DCEA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30</w:t>
            </w:r>
          </w:p>
        </w:tc>
        <w:tc>
          <w:tcPr>
            <w:tcW w:w="3151" w:type="dxa"/>
          </w:tcPr>
          <w:p w14:paraId="13D48B01" w14:textId="31866B89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$2,829</w:t>
            </w:r>
          </w:p>
        </w:tc>
      </w:tr>
      <w:tr w:rsidR="00B243A3" w14:paraId="30FDC35B" w14:textId="77777777" w:rsidTr="006813D2">
        <w:tc>
          <w:tcPr>
            <w:tcW w:w="1356" w:type="dxa"/>
          </w:tcPr>
          <w:p w14:paraId="09F5519D" w14:textId="15DE524C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2015</w:t>
            </w:r>
          </w:p>
        </w:tc>
        <w:tc>
          <w:tcPr>
            <w:tcW w:w="2487" w:type="dxa"/>
          </w:tcPr>
          <w:p w14:paraId="2348BD04" w14:textId="4C6B450F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$16,225</w:t>
            </w:r>
          </w:p>
        </w:tc>
        <w:tc>
          <w:tcPr>
            <w:tcW w:w="2356" w:type="dxa"/>
          </w:tcPr>
          <w:p w14:paraId="38881925" w14:textId="02A2B8CE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14</w:t>
            </w:r>
          </w:p>
        </w:tc>
        <w:tc>
          <w:tcPr>
            <w:tcW w:w="3151" w:type="dxa"/>
          </w:tcPr>
          <w:p w14:paraId="58398059" w14:textId="0CD82231" w:rsidR="00B243A3" w:rsidRDefault="00B243A3" w:rsidP="00DB2736">
            <w:pPr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$4,265</w:t>
            </w:r>
          </w:p>
        </w:tc>
      </w:tr>
    </w:tbl>
    <w:p w14:paraId="1D667DCA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>Legal and Legislated Requirements</w:t>
      </w:r>
    </w:p>
    <w:p w14:paraId="1D667DCC" w14:textId="2B61A2AE" w:rsidR="00DB2736" w:rsidRPr="00EF2B1E" w:rsidRDefault="005F68B7" w:rsidP="005F68B7">
      <w:pPr>
        <w:rPr>
          <w:rStyle w:val="IntenseEmphasis"/>
          <w:b w:val="0"/>
        </w:rPr>
      </w:pPr>
      <w:r>
        <w:rPr>
          <w:rStyle w:val="IntenseEmphasis"/>
          <w:b w:val="0"/>
        </w:rPr>
        <w:t>None</w:t>
      </w:r>
    </w:p>
    <w:p w14:paraId="1D667DCD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>Financial and Resource Implications</w:t>
      </w:r>
    </w:p>
    <w:p w14:paraId="1D667DCE" w14:textId="759598E3" w:rsidR="00EF2B1E" w:rsidRPr="00EF2B1E" w:rsidRDefault="00B243A3" w:rsidP="00EF2B1E">
      <w:pPr>
        <w:rPr>
          <w:rStyle w:val="IntenseEmphasis"/>
          <w:b w:val="0"/>
        </w:rPr>
      </w:pPr>
      <w:r>
        <w:rPr>
          <w:rStyle w:val="IntenseEmphasis"/>
          <w:b w:val="0"/>
        </w:rPr>
        <w:t xml:space="preserve">The uncollectible amount eligible for write off totals </w:t>
      </w:r>
      <w:r w:rsidRPr="004D782C">
        <w:rPr>
          <w:rStyle w:val="IntenseEmphasis"/>
          <w:b w:val="0"/>
        </w:rPr>
        <w:t>$</w:t>
      </w:r>
      <w:r w:rsidR="00906C48">
        <w:rPr>
          <w:rStyle w:val="IntenseEmphasis"/>
          <w:b w:val="0"/>
        </w:rPr>
        <w:t>43,716</w:t>
      </w:r>
      <w:r w:rsidR="00293198">
        <w:rPr>
          <w:rStyle w:val="IntenseEmphasis"/>
          <w:b w:val="0"/>
        </w:rPr>
        <w:t xml:space="preserve"> </w:t>
      </w:r>
      <w:r>
        <w:rPr>
          <w:rStyle w:val="IntenseEmphasis"/>
          <w:b w:val="0"/>
        </w:rPr>
        <w:t>as compared to the budgeted amount of $</w:t>
      </w:r>
      <w:r w:rsidR="00906C48">
        <w:rPr>
          <w:rStyle w:val="IntenseEmphasis"/>
          <w:b w:val="0"/>
        </w:rPr>
        <w:t>40,700</w:t>
      </w:r>
      <w:r w:rsidR="00B14CCA">
        <w:rPr>
          <w:rStyle w:val="IntenseEmphasis"/>
          <w:b w:val="0"/>
        </w:rPr>
        <w:t>.</w:t>
      </w:r>
    </w:p>
    <w:p w14:paraId="1D667DCF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>Relevant Consultation</w:t>
      </w:r>
    </w:p>
    <w:p w14:paraId="1D667DD0" w14:textId="7F9DD589" w:rsidR="00EF2B1E" w:rsidRPr="00EF2B1E" w:rsidRDefault="000718EC" w:rsidP="00E739F0">
      <w:pPr>
        <w:ind w:firstLine="180"/>
        <w:rPr>
          <w:rStyle w:val="IntenseEmphasis"/>
          <w:b w:val="0"/>
        </w:rPr>
      </w:pPr>
      <w:sdt>
        <w:sdtPr>
          <w:rPr>
            <w:rStyle w:val="IntenseEmphasis"/>
            <w:b w:val="0"/>
          </w:rPr>
          <w:id w:val="128639204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55EAF">
            <w:rPr>
              <w:rStyle w:val="IntenseEmphasis"/>
              <w:rFonts w:ascii="MS Gothic" w:eastAsia="MS Gothic" w:hAnsi="MS Gothic" w:hint="eastAsia"/>
              <w:b w:val="0"/>
            </w:rPr>
            <w:t>☒</w:t>
          </w:r>
        </w:sdtContent>
      </w:sdt>
      <w:r w:rsidR="00EF2B1E" w:rsidRPr="00EF2B1E">
        <w:rPr>
          <w:rStyle w:val="IntenseEmphasis"/>
          <w:b w:val="0"/>
        </w:rPr>
        <w:tab/>
      </w:r>
      <w:r w:rsidR="00DB2736">
        <w:rPr>
          <w:rStyle w:val="IntenseEmphasis"/>
          <w:b w:val="0"/>
        </w:rPr>
        <w:t>Intern</w:t>
      </w:r>
      <w:r w:rsidR="00255EAF">
        <w:rPr>
          <w:rStyle w:val="IntenseEmphasis"/>
          <w:b w:val="0"/>
        </w:rPr>
        <w:t>al – Anne Marie Shaw, Director of Housing</w:t>
      </w:r>
    </w:p>
    <w:p w14:paraId="1D667DD1" w14:textId="530DCE8D" w:rsidR="00EF2B1E" w:rsidRPr="00EF2B1E" w:rsidRDefault="000718EC" w:rsidP="00E739F0">
      <w:pPr>
        <w:ind w:firstLine="180"/>
        <w:rPr>
          <w:rStyle w:val="IntenseEmphasis"/>
          <w:b w:val="0"/>
        </w:rPr>
      </w:pPr>
      <w:sdt>
        <w:sdtPr>
          <w:rPr>
            <w:rStyle w:val="IntenseEmphasis"/>
            <w:b w:val="0"/>
          </w:rPr>
          <w:id w:val="18868293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EB70A5">
            <w:rPr>
              <w:rStyle w:val="IntenseEmphasis"/>
              <w:rFonts w:ascii="MS Gothic" w:eastAsia="MS Gothic" w:hAnsi="MS Gothic" w:hint="eastAsia"/>
              <w:b w:val="0"/>
            </w:rPr>
            <w:t>☐</w:t>
          </w:r>
        </w:sdtContent>
      </w:sdt>
      <w:r w:rsidR="00DB2736">
        <w:rPr>
          <w:rStyle w:val="IntenseEmphasis"/>
          <w:b w:val="0"/>
        </w:rPr>
        <w:tab/>
        <w:t>External (list)</w:t>
      </w:r>
    </w:p>
    <w:p w14:paraId="1D667DD2" w14:textId="77777777" w:rsidR="00EF2B1E" w:rsidRDefault="00EF2B1E" w:rsidP="009F7C7E">
      <w:pPr>
        <w:pStyle w:val="Heading3"/>
        <w:rPr>
          <w:rStyle w:val="IntenseEmphasis"/>
          <w:b w:val="0"/>
        </w:rPr>
      </w:pPr>
      <w:r w:rsidRPr="00EF2B1E">
        <w:rPr>
          <w:rStyle w:val="IntenseEmphasis"/>
          <w:b w:val="0"/>
        </w:rPr>
        <w:t xml:space="preserve">Appendices and Attachments </w:t>
      </w:r>
    </w:p>
    <w:p w14:paraId="72897278" w14:textId="1DF96666" w:rsidR="00B14CCA" w:rsidRPr="00B14CCA" w:rsidRDefault="00B14CCA" w:rsidP="00B14CCA">
      <w:r>
        <w:t>None</w:t>
      </w:r>
    </w:p>
    <w:sectPr w:rsidR="00B14CCA" w:rsidRPr="00B14C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5DB3" w14:textId="77777777" w:rsidR="00987DF9" w:rsidRDefault="00987DF9" w:rsidP="009F7C7E">
      <w:pPr>
        <w:spacing w:after="0" w:line="240" w:lineRule="auto"/>
      </w:pPr>
      <w:r>
        <w:separator/>
      </w:r>
    </w:p>
  </w:endnote>
  <w:endnote w:type="continuationSeparator" w:id="0">
    <w:p w14:paraId="5CA819D9" w14:textId="77777777" w:rsidR="00987DF9" w:rsidRDefault="00987DF9" w:rsidP="009F7C7E">
      <w:pPr>
        <w:spacing w:after="0" w:line="240" w:lineRule="auto"/>
      </w:pPr>
      <w:r>
        <w:continuationSeparator/>
      </w:r>
    </w:p>
  </w:endnote>
  <w:endnote w:type="continuationNotice" w:id="1">
    <w:p w14:paraId="5A82A5E9" w14:textId="77777777" w:rsidR="00F43BDF" w:rsidRDefault="00F43B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7DDC" w14:textId="07ADEE84" w:rsidR="00987DF9" w:rsidRPr="009F7C7E" w:rsidRDefault="00987DF9">
    <w:pPr>
      <w:pStyle w:val="Footer"/>
      <w:rPr>
        <w:sz w:val="22"/>
        <w:szCs w:val="22"/>
      </w:rPr>
    </w:pPr>
    <w:r>
      <w:rPr>
        <w:sz w:val="22"/>
        <w:szCs w:val="22"/>
      </w:rPr>
      <w:t>FR-CW-</w:t>
    </w:r>
    <w:r w:rsidR="00906C48">
      <w:rPr>
        <w:sz w:val="22"/>
        <w:szCs w:val="22"/>
      </w:rPr>
      <w:t>04-21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Date: January </w:t>
    </w:r>
    <w:r w:rsidR="000B7263">
      <w:rPr>
        <w:sz w:val="22"/>
        <w:szCs w:val="22"/>
      </w:rPr>
      <w:t>14,</w:t>
    </w:r>
    <w:r>
      <w:rPr>
        <w:sz w:val="22"/>
        <w:szCs w:val="22"/>
      </w:rPr>
      <w:t xml:space="preserve"> </w:t>
    </w:r>
    <w:r w:rsidR="00906C48">
      <w:rPr>
        <w:sz w:val="22"/>
        <w:szCs w:val="22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56FF" w14:textId="77777777" w:rsidR="00987DF9" w:rsidRDefault="00987DF9" w:rsidP="009F7C7E">
      <w:pPr>
        <w:spacing w:after="0" w:line="240" w:lineRule="auto"/>
      </w:pPr>
      <w:r>
        <w:separator/>
      </w:r>
    </w:p>
  </w:footnote>
  <w:footnote w:type="continuationSeparator" w:id="0">
    <w:p w14:paraId="5FCE5400" w14:textId="77777777" w:rsidR="00987DF9" w:rsidRDefault="00987DF9" w:rsidP="009F7C7E">
      <w:pPr>
        <w:spacing w:after="0" w:line="240" w:lineRule="auto"/>
      </w:pPr>
      <w:r>
        <w:continuationSeparator/>
      </w:r>
    </w:p>
  </w:footnote>
  <w:footnote w:type="continuationNotice" w:id="1">
    <w:p w14:paraId="24AA3D2E" w14:textId="77777777" w:rsidR="00F43BDF" w:rsidRDefault="00F43B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31A21"/>
    <w:multiLevelType w:val="hybridMultilevel"/>
    <w:tmpl w:val="2EBC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1E"/>
    <w:rsid w:val="00023E01"/>
    <w:rsid w:val="00031776"/>
    <w:rsid w:val="000718EC"/>
    <w:rsid w:val="00076997"/>
    <w:rsid w:val="000B7263"/>
    <w:rsid w:val="000C20E1"/>
    <w:rsid w:val="000E3718"/>
    <w:rsid w:val="000F15A6"/>
    <w:rsid w:val="00104C85"/>
    <w:rsid w:val="00192B0C"/>
    <w:rsid w:val="002209BF"/>
    <w:rsid w:val="002267D4"/>
    <w:rsid w:val="00255EAF"/>
    <w:rsid w:val="00266B78"/>
    <w:rsid w:val="00293198"/>
    <w:rsid w:val="002A4FC5"/>
    <w:rsid w:val="002B713E"/>
    <w:rsid w:val="002D5B5D"/>
    <w:rsid w:val="00340CC1"/>
    <w:rsid w:val="003C6279"/>
    <w:rsid w:val="004D782C"/>
    <w:rsid w:val="004F4902"/>
    <w:rsid w:val="00515888"/>
    <w:rsid w:val="00564BBC"/>
    <w:rsid w:val="005C2307"/>
    <w:rsid w:val="005F68B7"/>
    <w:rsid w:val="006813D2"/>
    <w:rsid w:val="0078354B"/>
    <w:rsid w:val="007C015D"/>
    <w:rsid w:val="007C08AA"/>
    <w:rsid w:val="007C5EBF"/>
    <w:rsid w:val="00802670"/>
    <w:rsid w:val="008438A1"/>
    <w:rsid w:val="0084584D"/>
    <w:rsid w:val="008E1655"/>
    <w:rsid w:val="00906C48"/>
    <w:rsid w:val="0090755B"/>
    <w:rsid w:val="00987DF9"/>
    <w:rsid w:val="009C3211"/>
    <w:rsid w:val="009E3FB9"/>
    <w:rsid w:val="009F1013"/>
    <w:rsid w:val="009F7C7E"/>
    <w:rsid w:val="00A21F4C"/>
    <w:rsid w:val="00A34F93"/>
    <w:rsid w:val="00AC1487"/>
    <w:rsid w:val="00B14CCA"/>
    <w:rsid w:val="00B243A3"/>
    <w:rsid w:val="00B610A4"/>
    <w:rsid w:val="00B93FAB"/>
    <w:rsid w:val="00BB6097"/>
    <w:rsid w:val="00C04D74"/>
    <w:rsid w:val="00C70265"/>
    <w:rsid w:val="00C82386"/>
    <w:rsid w:val="00C82E15"/>
    <w:rsid w:val="00CC327E"/>
    <w:rsid w:val="00CC63DB"/>
    <w:rsid w:val="00DA19DE"/>
    <w:rsid w:val="00DB2736"/>
    <w:rsid w:val="00DF4132"/>
    <w:rsid w:val="00E13981"/>
    <w:rsid w:val="00E739F0"/>
    <w:rsid w:val="00EB70A5"/>
    <w:rsid w:val="00ED103B"/>
    <w:rsid w:val="00EF2B1E"/>
    <w:rsid w:val="00F43BDF"/>
    <w:rsid w:val="00F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7DAA"/>
  <w15:docId w15:val="{D8B48D0B-13F9-4571-8F39-5232F51C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8EC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8EC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8EC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0718EC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8EC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18EC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18EC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18EC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18EC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18EC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0718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18EC"/>
  </w:style>
  <w:style w:type="character" w:customStyle="1" w:styleId="Heading1Char">
    <w:name w:val="Heading 1 Char"/>
    <w:basedOn w:val="DefaultParagraphFont"/>
    <w:link w:val="Heading1"/>
    <w:uiPriority w:val="9"/>
    <w:rsid w:val="000718EC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18EC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18EC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18EC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18EC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718EC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718EC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718EC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718EC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0718EC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0718EC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8E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18EC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18EC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0718EC"/>
    <w:rPr>
      <w:rFonts w:ascii="Arial" w:hAnsi="Arial"/>
      <w:i/>
      <w:iCs/>
    </w:rPr>
  </w:style>
  <w:style w:type="paragraph" w:styleId="NoSpacing">
    <w:name w:val="No Spacing"/>
    <w:uiPriority w:val="1"/>
    <w:qFormat/>
    <w:rsid w:val="000718EC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18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8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18EC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8EC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8EC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0718EC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18EC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0718EC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18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18EC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0718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8EC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0718EC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0718EC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0718EC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0718EC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0718EC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0718EC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1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F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7E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7E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GC_115117515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[2021-01-14 Committee of the Whole [9808]]</meetingId>
    <capitalProjectPriority xmlns="e6cd7bd4-3f3e-4495-b8c9-139289cd76e6" xsi:nil="true"/>
    <policyApprovalDate xmlns="e6cd7bd4-3f3e-4495-b8c9-139289cd76e6" xsi:nil="true"/>
    <NodeRef xmlns="e6cd7bd4-3f3e-4495-b8c9-139289cd76e6">c3fd46bd-993a-4215-b5e0-0835508865a3</NodeRef>
    <addressees xmlns="e6cd7bd4-3f3e-4495-b8c9-139289cd76e6" xsi:nil="true"/>
    <identifier xmlns="e6cd7bd4-3f3e-4495-b8c9-139289cd76e6">2021-1640965386757</identifier>
    <reviewAsOf xmlns="e6cd7bd4-3f3e-4495-b8c9-139289cd76e6">2031-12-31T15:43:11+00:00</reviewAsOf>
    <bylawNumber xmlns="e6cd7bd4-3f3e-4495-b8c9-139289cd76e6" xsi:nil="true"/>
    <addressee xmlns="e6cd7bd4-3f3e-4495-b8c9-139289cd76e6" xsi:nil="true"/>
    <recordOriginatingLocation xmlns="e6cd7bd4-3f3e-4495-b8c9-139289cd76e6">workspace://SpacesStore/0537c481-8bbf-48f6-9052-1cba16e06ed8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ECADF10-B956-4EE5-BCD9-D872F3F8997E}"/>
</file>

<file path=customXml/itemProps2.xml><?xml version="1.0" encoding="utf-8"?>
<ds:datastoreItem xmlns:ds="http://schemas.openxmlformats.org/officeDocument/2006/customXml" ds:itemID="{B29E7B60-0B26-4554-8FA2-0BD97E29AB40}"/>
</file>

<file path=customXml/itemProps3.xml><?xml version="1.0" encoding="utf-8"?>
<ds:datastoreItem xmlns:ds="http://schemas.openxmlformats.org/officeDocument/2006/customXml" ds:itemID="{18207A1E-8132-4306-B837-BA1DD0A3B482}"/>
</file>

<file path=customXml/itemProps4.xml><?xml version="1.0" encoding="utf-8"?>
<ds:datastoreItem xmlns:ds="http://schemas.openxmlformats.org/officeDocument/2006/customXml" ds:itemID="{CB1A3688-ACCF-43B5-8968-28A3CA3B1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County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7</cp:revision>
  <dcterms:created xsi:type="dcterms:W3CDTF">2020-12-08T20:43:00Z</dcterms:created>
  <dcterms:modified xsi:type="dcterms:W3CDTF">2021-02-02T19:35:00Z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