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425C92" w:rsidP="00B03DDD">
      <w:pPr>
        <w:pStyle w:val="Title"/>
        <w:tabs>
          <w:tab w:val="clear" w:pos="10260"/>
          <w:tab w:val="right" w:pos="9540"/>
        </w:tabs>
        <w:ind w:left="0"/>
        <w:sectPr w:rsidR="003C4A45" w:rsidRPr="00C2345E" w:rsidSect="00DE0F2F">
          <w:footerReference w:type="default" r:id="rId9"/>
          <w:pgSz w:w="12240" w:h="15840"/>
          <w:pgMar w:top="720" w:right="1440" w:bottom="1440" w:left="1260" w:header="706" w:footer="576" w:gutter="0"/>
          <w:cols w:space="720"/>
          <w:docGrid w:linePitch="360"/>
        </w:sectPr>
      </w:pPr>
      <w:r>
        <w:rPr>
          <w:noProof/>
        </w:rPr>
        <w:drawing>
          <wp:inline distT="0" distB="0" distL="0" distR="0" wp14:anchorId="6EA03362" wp14:editId="12E03A41">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C2345E" w:rsidRPr="004021BB">
        <w:rPr>
          <w:rStyle w:val="TitleChar"/>
          <w:rFonts w:ascii="HelveticaNeueLT Std Lt" w:hAnsi="HelveticaNeueLT Std Lt"/>
        </w:rPr>
        <w:t>Committee Report</w:t>
      </w:r>
    </w:p>
    <w:p w:rsidR="00075BEB" w:rsidRPr="00D27E99" w:rsidRDefault="00075BEB" w:rsidP="00451D2E">
      <w:pPr>
        <w:pStyle w:val="Heading1"/>
        <w:jc w:val="center"/>
        <w:rPr>
          <w:rFonts w:ascii="HelveticaNeueLT Std Lt" w:hAnsi="HelveticaNeueLT Std Lt"/>
        </w:rPr>
      </w:pPr>
      <w:r w:rsidRPr="00D27E99">
        <w:rPr>
          <w:rFonts w:ascii="HelveticaNeueLT Std Lt" w:hAnsi="HelveticaNeueLT Std Lt"/>
        </w:rPr>
        <w:lastRenderedPageBreak/>
        <w:t xml:space="preserve">Report </w:t>
      </w:r>
      <w:r w:rsidR="00581EC2" w:rsidRPr="00D27E99">
        <w:rPr>
          <w:rFonts w:ascii="HelveticaNeueLT Std Lt" w:hAnsi="HelveticaNeueLT Std Lt"/>
        </w:rPr>
        <w:t>TR</w:t>
      </w:r>
      <w:r w:rsidR="008B19CB" w:rsidRPr="00D27E99">
        <w:rPr>
          <w:rFonts w:ascii="HelveticaNeueLT Std Lt" w:hAnsi="HelveticaNeueLT Std Lt"/>
        </w:rPr>
        <w:t>-</w:t>
      </w:r>
      <w:r w:rsidR="00581EC2" w:rsidRPr="00D27E99">
        <w:rPr>
          <w:rFonts w:ascii="HelveticaNeueLT Std Lt" w:hAnsi="HelveticaNeueLT Std Lt"/>
        </w:rPr>
        <w:t>TAPS</w:t>
      </w:r>
      <w:r w:rsidR="008B19CB" w:rsidRPr="00D27E99">
        <w:rPr>
          <w:rFonts w:ascii="HelveticaNeueLT Std Lt" w:hAnsi="HelveticaNeueLT Std Lt"/>
        </w:rPr>
        <w:t>-</w:t>
      </w:r>
      <w:r w:rsidR="00646E33">
        <w:rPr>
          <w:rFonts w:ascii="HelveticaNeueLT Std Lt" w:hAnsi="HelveticaNeueLT Std Lt"/>
        </w:rPr>
        <w:t>32</w:t>
      </w:r>
      <w:r w:rsidR="00C82083">
        <w:rPr>
          <w:rFonts w:ascii="HelveticaNeueLT Std Lt" w:hAnsi="HelveticaNeueLT Std Lt"/>
        </w:rPr>
        <w:t>-15</w:t>
      </w:r>
    </w:p>
    <w:p w:rsidR="00075BEB" w:rsidRPr="00ED2B3E" w:rsidRDefault="00075BEB" w:rsidP="00807805">
      <w:pPr>
        <w:pStyle w:val="NoSpacing"/>
        <w:rPr>
          <w:rStyle w:val="Strong"/>
          <w:rFonts w:ascii="HelveticaNeueLT Std" w:hAnsi="HelveticaNeueLT Std"/>
          <w:b w:val="0"/>
          <w:bCs w:val="0"/>
          <w:sz w:val="24"/>
          <w:szCs w:val="24"/>
        </w:rPr>
      </w:pPr>
      <w:r w:rsidRPr="00ED2B3E">
        <w:rPr>
          <w:rStyle w:val="Strong"/>
          <w:rFonts w:ascii="HelveticaNeueLT Std" w:hAnsi="HelveticaNeueLT Std"/>
          <w:bCs w:val="0"/>
          <w:sz w:val="24"/>
          <w:szCs w:val="24"/>
        </w:rPr>
        <w:t>To</w:t>
      </w:r>
      <w:r w:rsidRPr="00ED2B3E">
        <w:rPr>
          <w:rFonts w:ascii="HelveticaNeueLT Std" w:hAnsi="HelveticaNeueLT Std"/>
          <w:sz w:val="24"/>
          <w:szCs w:val="24"/>
        </w:rPr>
        <w:t xml:space="preserve">: </w:t>
      </w:r>
      <w:r w:rsidR="00581EC2" w:rsidRPr="00ED2B3E">
        <w:rPr>
          <w:rFonts w:ascii="HelveticaNeueLT Std" w:hAnsi="HelveticaNeueLT Std"/>
          <w:sz w:val="24"/>
          <w:szCs w:val="24"/>
        </w:rPr>
        <w:tab/>
        <w:t xml:space="preserve">Chair </w:t>
      </w:r>
      <w:r w:rsidR="004A0C32">
        <w:rPr>
          <w:rFonts w:ascii="HelveticaNeueLT Std" w:hAnsi="HelveticaNeueLT Std"/>
          <w:sz w:val="24"/>
          <w:szCs w:val="24"/>
        </w:rPr>
        <w:t xml:space="preserve">Barfoot </w:t>
      </w:r>
      <w:r w:rsidR="00581EC2" w:rsidRPr="00ED2B3E">
        <w:rPr>
          <w:rFonts w:ascii="HelveticaNeueLT Std" w:hAnsi="HelveticaNeueLT Std"/>
          <w:sz w:val="24"/>
          <w:szCs w:val="24"/>
        </w:rPr>
        <w:t>and Members of the Transportation and Public Safety Committee</w:t>
      </w:r>
    </w:p>
    <w:p w:rsidR="00075BEB" w:rsidRPr="00ED2B3E" w:rsidRDefault="00075BEB" w:rsidP="00807805">
      <w:pPr>
        <w:pStyle w:val="NoSpacing"/>
        <w:rPr>
          <w:rStyle w:val="Strong"/>
          <w:rFonts w:ascii="HelveticaNeueLT Std" w:hAnsi="HelveticaNeueLT Std"/>
          <w:b w:val="0"/>
          <w:bCs w:val="0"/>
          <w:sz w:val="24"/>
          <w:szCs w:val="24"/>
        </w:rPr>
      </w:pPr>
      <w:r w:rsidRPr="00ED2B3E">
        <w:rPr>
          <w:rStyle w:val="Strong"/>
          <w:rFonts w:ascii="HelveticaNeueLT Std" w:hAnsi="HelveticaNeueLT Std"/>
          <w:bCs w:val="0"/>
          <w:sz w:val="24"/>
          <w:szCs w:val="24"/>
        </w:rPr>
        <w:t>From</w:t>
      </w:r>
      <w:r w:rsidR="00807805" w:rsidRPr="00ED2B3E">
        <w:rPr>
          <w:rFonts w:ascii="HelveticaNeueLT Std" w:hAnsi="HelveticaNeueLT Std"/>
          <w:sz w:val="24"/>
          <w:szCs w:val="24"/>
        </w:rPr>
        <w:t>:</w:t>
      </w:r>
      <w:r w:rsidR="00807805" w:rsidRPr="00ED2B3E">
        <w:rPr>
          <w:rFonts w:ascii="HelveticaNeueLT Std" w:hAnsi="HelveticaNeueLT Std"/>
          <w:sz w:val="24"/>
          <w:szCs w:val="24"/>
        </w:rPr>
        <w:tab/>
      </w:r>
      <w:r w:rsidR="00520E4B" w:rsidRPr="00A32874">
        <w:rPr>
          <w:rFonts w:ascii="HelveticaNeueLT Std" w:hAnsi="HelveticaNeueLT Std"/>
          <w:sz w:val="24"/>
          <w:szCs w:val="24"/>
        </w:rPr>
        <w:t>M.J. Kelly, Director of Transportation Services</w:t>
      </w:r>
      <w:r w:rsidR="00520E4B">
        <w:rPr>
          <w:rFonts w:ascii="HelveticaNeueLT Std" w:hAnsi="HelveticaNeueLT Std"/>
          <w:sz w:val="24"/>
          <w:szCs w:val="24"/>
        </w:rPr>
        <w:t xml:space="preserve"> </w:t>
      </w:r>
      <w:r w:rsidR="00013F45">
        <w:rPr>
          <w:rFonts w:ascii="HelveticaNeueLT Std" w:hAnsi="HelveticaNeueLT Std"/>
          <w:sz w:val="24"/>
          <w:szCs w:val="24"/>
        </w:rPr>
        <w:t>and Sharon Melville, Buyer</w:t>
      </w:r>
    </w:p>
    <w:p w:rsidR="00075BEB" w:rsidRPr="00ED2B3E" w:rsidRDefault="00075BEB" w:rsidP="00807805">
      <w:pPr>
        <w:pStyle w:val="NoSpacing"/>
        <w:rPr>
          <w:rStyle w:val="Strong"/>
          <w:rFonts w:ascii="HelveticaNeueLT Std" w:hAnsi="HelveticaNeueLT Std"/>
          <w:b w:val="0"/>
          <w:bCs w:val="0"/>
          <w:sz w:val="24"/>
          <w:szCs w:val="24"/>
        </w:rPr>
      </w:pPr>
      <w:r w:rsidRPr="00ED2B3E">
        <w:rPr>
          <w:rStyle w:val="Strong"/>
          <w:rFonts w:ascii="HelveticaNeueLT Std" w:hAnsi="HelveticaNeueLT Std"/>
          <w:bCs w:val="0"/>
          <w:sz w:val="24"/>
          <w:szCs w:val="24"/>
        </w:rPr>
        <w:t>Meeting Date</w:t>
      </w:r>
      <w:r w:rsidRPr="00ED2B3E">
        <w:rPr>
          <w:rStyle w:val="Strong"/>
          <w:rFonts w:ascii="HelveticaNeueLT Std" w:hAnsi="HelveticaNeueLT Std"/>
          <w:b w:val="0"/>
          <w:bCs w:val="0"/>
          <w:sz w:val="24"/>
          <w:szCs w:val="24"/>
        </w:rPr>
        <w:t>:</w:t>
      </w:r>
      <w:r w:rsidRPr="00ED2B3E">
        <w:rPr>
          <w:rFonts w:ascii="HelveticaNeueLT Std" w:hAnsi="HelveticaNeueLT Std"/>
          <w:sz w:val="24"/>
          <w:szCs w:val="24"/>
        </w:rPr>
        <w:tab/>
      </w:r>
      <w:r w:rsidR="00646E33">
        <w:rPr>
          <w:rFonts w:ascii="HelveticaNeueLT Std" w:hAnsi="HelveticaNeueLT Std"/>
          <w:sz w:val="24"/>
          <w:szCs w:val="24"/>
        </w:rPr>
        <w:t>April 23</w:t>
      </w:r>
      <w:r w:rsidR="00013F45">
        <w:rPr>
          <w:rFonts w:ascii="HelveticaNeueLT Std" w:hAnsi="HelveticaNeueLT Std"/>
          <w:sz w:val="24"/>
          <w:szCs w:val="24"/>
        </w:rPr>
        <w:t>, 201</w:t>
      </w:r>
      <w:r w:rsidR="00C44C83">
        <w:rPr>
          <w:rFonts w:ascii="HelveticaNeueLT Std" w:hAnsi="HelveticaNeueLT Std"/>
          <w:sz w:val="24"/>
          <w:szCs w:val="24"/>
        </w:rPr>
        <w:t>5</w:t>
      </w:r>
    </w:p>
    <w:p w:rsidR="00C71960" w:rsidRDefault="00075BEB" w:rsidP="00807805">
      <w:pPr>
        <w:pStyle w:val="NoSpacing"/>
        <w:rPr>
          <w:rFonts w:ascii="HelveticaNeueLT Std" w:hAnsi="HelveticaNeueLT Std"/>
          <w:sz w:val="24"/>
          <w:szCs w:val="24"/>
        </w:rPr>
      </w:pPr>
      <w:r w:rsidRPr="00ED2B3E">
        <w:rPr>
          <w:rStyle w:val="Strong"/>
          <w:rFonts w:ascii="HelveticaNeueLT Std" w:hAnsi="HelveticaNeueLT Std"/>
          <w:bCs w:val="0"/>
          <w:sz w:val="24"/>
          <w:szCs w:val="24"/>
        </w:rPr>
        <w:t>Subject</w:t>
      </w:r>
      <w:r w:rsidR="00C523D9" w:rsidRPr="00ED2B3E">
        <w:rPr>
          <w:rStyle w:val="Strong"/>
          <w:rFonts w:ascii="HelveticaNeueLT Std" w:hAnsi="HelveticaNeueLT Std"/>
          <w:b w:val="0"/>
          <w:bCs w:val="0"/>
          <w:sz w:val="24"/>
          <w:szCs w:val="24"/>
        </w:rPr>
        <w:t>:</w:t>
      </w:r>
      <w:r w:rsidR="00C523D9" w:rsidRPr="00ED2B3E">
        <w:rPr>
          <w:rFonts w:ascii="HelveticaNeueLT Std" w:hAnsi="HelveticaNeueLT Std"/>
          <w:sz w:val="24"/>
          <w:szCs w:val="24"/>
        </w:rPr>
        <w:tab/>
      </w:r>
      <w:r w:rsidR="00013F45">
        <w:rPr>
          <w:rFonts w:ascii="HelveticaNeueLT Std" w:hAnsi="HelveticaNeueLT Std"/>
          <w:sz w:val="24"/>
          <w:szCs w:val="24"/>
        </w:rPr>
        <w:t>Award of RFT-TS-</w:t>
      </w:r>
      <w:r w:rsidR="00646E33">
        <w:rPr>
          <w:rFonts w:ascii="HelveticaNeueLT Std" w:hAnsi="HelveticaNeueLT Std"/>
          <w:sz w:val="24"/>
          <w:szCs w:val="24"/>
        </w:rPr>
        <w:t>09</w:t>
      </w:r>
      <w:r w:rsidR="00C44C83">
        <w:rPr>
          <w:rFonts w:ascii="HelveticaNeueLT Std" w:hAnsi="HelveticaNeueLT Std"/>
          <w:sz w:val="24"/>
          <w:szCs w:val="24"/>
        </w:rPr>
        <w:t>-15</w:t>
      </w:r>
      <w:r w:rsidR="00013F45">
        <w:rPr>
          <w:rFonts w:ascii="HelveticaNeueLT Std" w:hAnsi="HelveticaNeueLT Std"/>
          <w:sz w:val="24"/>
          <w:szCs w:val="24"/>
        </w:rPr>
        <w:t xml:space="preserve"> Grey Road </w:t>
      </w:r>
      <w:r w:rsidR="00646E33">
        <w:rPr>
          <w:rFonts w:ascii="HelveticaNeueLT Std" w:hAnsi="HelveticaNeueLT Std"/>
          <w:sz w:val="24"/>
          <w:szCs w:val="24"/>
        </w:rPr>
        <w:t>2</w:t>
      </w:r>
      <w:r w:rsidR="00C44C83">
        <w:rPr>
          <w:rFonts w:ascii="HelveticaNeueLT Std" w:hAnsi="HelveticaNeueLT Std"/>
          <w:sz w:val="24"/>
          <w:szCs w:val="24"/>
        </w:rPr>
        <w:t xml:space="preserve">9 </w:t>
      </w:r>
      <w:r w:rsidR="00646E33">
        <w:rPr>
          <w:rFonts w:ascii="HelveticaNeueLT Std" w:hAnsi="HelveticaNeueLT Std"/>
          <w:sz w:val="24"/>
          <w:szCs w:val="24"/>
        </w:rPr>
        <w:t>Pulverize and</w:t>
      </w:r>
      <w:r w:rsidR="00D705CD">
        <w:rPr>
          <w:rFonts w:ascii="HelveticaNeueLT Std" w:hAnsi="HelveticaNeueLT Std"/>
          <w:sz w:val="24"/>
          <w:szCs w:val="24"/>
        </w:rPr>
        <w:t xml:space="preserve"> Hot Mix</w:t>
      </w:r>
    </w:p>
    <w:p w:rsidR="002B670D" w:rsidRPr="00ED2B3E" w:rsidRDefault="002B670D" w:rsidP="00A2178A">
      <w:pPr>
        <w:pStyle w:val="Footer"/>
        <w:tabs>
          <w:tab w:val="clear" w:pos="4680"/>
          <w:tab w:val="clear" w:pos="9360"/>
          <w:tab w:val="left" w:pos="1890"/>
        </w:tabs>
        <w:ind w:left="1890" w:hanging="1890"/>
        <w:rPr>
          <w:rStyle w:val="Strong"/>
          <w:rFonts w:ascii="HelveticaNeueLT Std" w:hAnsi="HelveticaNeueLT Std"/>
          <w:b w:val="0"/>
          <w:bCs w:val="0"/>
        </w:rPr>
      </w:pPr>
      <w:r w:rsidRPr="00ED2B3E">
        <w:rPr>
          <w:rFonts w:ascii="HelveticaNeueLT Std" w:hAnsi="HelveticaNeueLT Std"/>
          <w:b/>
          <w:sz w:val="24"/>
          <w:szCs w:val="24"/>
        </w:rPr>
        <w:t xml:space="preserve">Status: </w:t>
      </w:r>
      <w:r w:rsidR="00B526C4" w:rsidRPr="00ED2B3E">
        <w:rPr>
          <w:rFonts w:ascii="HelveticaNeueLT Std" w:hAnsi="HelveticaNeueLT Std"/>
          <w:b/>
          <w:sz w:val="24"/>
          <w:szCs w:val="24"/>
        </w:rPr>
        <w:tab/>
      </w:r>
      <w:r w:rsidR="007721D2" w:rsidRPr="007721D2">
        <w:rPr>
          <w:rFonts w:ascii="HelveticaNeueLT Std" w:hAnsi="HelveticaNeueLT Std"/>
          <w:sz w:val="24"/>
          <w:szCs w:val="24"/>
        </w:rPr>
        <w:t>Recommendation adopted by Committee as presented per Resolution TAPS65-15; Endorsed by County Council May 5, 2015 per Resolution CC67-15;</w:t>
      </w:r>
      <w:r w:rsidR="007721D2">
        <w:rPr>
          <w:rFonts w:ascii="HelveticaNeueLT Std" w:hAnsi="HelveticaNeueLT Std"/>
          <w:b/>
          <w:sz w:val="24"/>
          <w:szCs w:val="24"/>
        </w:rPr>
        <w:t xml:space="preserve"> </w:t>
      </w:r>
    </w:p>
    <w:p w:rsidR="00075BEB" w:rsidRPr="00670B77" w:rsidRDefault="00075BEB" w:rsidP="00670B77">
      <w:pPr>
        <w:pStyle w:val="Heading2"/>
      </w:pPr>
      <w:r w:rsidRPr="00670B77">
        <w:t>Recommendation(s)</w:t>
      </w:r>
      <w:bookmarkStart w:id="0" w:name="_GoBack"/>
      <w:bookmarkEnd w:id="0"/>
    </w:p>
    <w:p w:rsidR="001A44F5" w:rsidRDefault="001A44F5" w:rsidP="001A44F5">
      <w:pPr>
        <w:ind w:right="-900"/>
        <w:rPr>
          <w:rFonts w:ascii="HelveticaNeueLT Std" w:hAnsi="HelveticaNeueLT Std"/>
          <w:b/>
          <w:sz w:val="24"/>
          <w:szCs w:val="24"/>
        </w:rPr>
      </w:pPr>
      <w:r w:rsidRPr="00ED2B3E">
        <w:rPr>
          <w:rFonts w:ascii="HelveticaNeueLT Std" w:hAnsi="HelveticaNeueLT Std"/>
          <w:b/>
          <w:sz w:val="24"/>
          <w:szCs w:val="24"/>
        </w:rPr>
        <w:t>WHEREAS</w:t>
      </w:r>
      <w:r>
        <w:rPr>
          <w:rFonts w:ascii="HelveticaNeueLT Std" w:hAnsi="HelveticaNeueLT Std"/>
          <w:b/>
          <w:sz w:val="24"/>
          <w:szCs w:val="24"/>
        </w:rPr>
        <w:t xml:space="preserve"> the 2015 budget for the Grey Road 29 project was </w:t>
      </w:r>
      <w:r w:rsidRPr="007367CC">
        <w:rPr>
          <w:rFonts w:ascii="HelveticaNeueLT Std" w:hAnsi="HelveticaNeueLT Std"/>
          <w:b/>
          <w:sz w:val="24"/>
          <w:szCs w:val="24"/>
        </w:rPr>
        <w:t>$</w:t>
      </w:r>
      <w:r>
        <w:rPr>
          <w:rFonts w:ascii="HelveticaNeueLT Std" w:hAnsi="HelveticaNeueLT Std"/>
          <w:b/>
          <w:sz w:val="24"/>
          <w:szCs w:val="24"/>
        </w:rPr>
        <w:t>352,963, the proposed work consist</w:t>
      </w:r>
      <w:r w:rsidR="00D04981">
        <w:rPr>
          <w:rFonts w:ascii="HelveticaNeueLT Std" w:hAnsi="HelveticaNeueLT Std"/>
          <w:b/>
          <w:sz w:val="24"/>
          <w:szCs w:val="24"/>
        </w:rPr>
        <w:t>s</w:t>
      </w:r>
      <w:r>
        <w:rPr>
          <w:rFonts w:ascii="HelveticaNeueLT Std" w:hAnsi="HelveticaNeueLT Std"/>
          <w:b/>
          <w:sz w:val="24"/>
          <w:szCs w:val="24"/>
        </w:rPr>
        <w:t xml:space="preserve"> of pulverizing and paving the road, drainage improvements</w:t>
      </w:r>
      <w:r w:rsidRPr="007367CC">
        <w:rPr>
          <w:rFonts w:ascii="HelveticaNeueLT Std" w:hAnsi="HelveticaNeueLT Std"/>
          <w:b/>
          <w:sz w:val="24"/>
          <w:szCs w:val="24"/>
        </w:rPr>
        <w:t>, design, tendering, construction inspection, and quality assurance;</w:t>
      </w:r>
    </w:p>
    <w:p w:rsidR="004A0A73" w:rsidRPr="007367CC" w:rsidRDefault="00B12CE3" w:rsidP="001B54A8">
      <w:pPr>
        <w:ind w:right="-900"/>
        <w:rPr>
          <w:rFonts w:ascii="HelveticaNeueLT Std" w:hAnsi="HelveticaNeueLT Std"/>
          <w:b/>
          <w:sz w:val="24"/>
          <w:szCs w:val="24"/>
        </w:rPr>
      </w:pPr>
      <w:r>
        <w:rPr>
          <w:rFonts w:ascii="HelveticaNeueLT Std" w:hAnsi="HelveticaNeueLT Std"/>
          <w:b/>
          <w:sz w:val="24"/>
          <w:szCs w:val="24"/>
        </w:rPr>
        <w:t>AND WHEREAS RFT-TS-</w:t>
      </w:r>
      <w:r w:rsidR="00646E33">
        <w:rPr>
          <w:rFonts w:ascii="HelveticaNeueLT Std" w:hAnsi="HelveticaNeueLT Std"/>
          <w:b/>
          <w:sz w:val="24"/>
          <w:szCs w:val="24"/>
        </w:rPr>
        <w:t>09</w:t>
      </w:r>
      <w:r w:rsidR="00105946" w:rsidRPr="007367CC">
        <w:rPr>
          <w:rFonts w:ascii="HelveticaNeueLT Std" w:hAnsi="HelveticaNeueLT Std"/>
          <w:b/>
          <w:sz w:val="24"/>
          <w:szCs w:val="24"/>
        </w:rPr>
        <w:t>-1</w:t>
      </w:r>
      <w:r w:rsidR="00C82083">
        <w:rPr>
          <w:rFonts w:ascii="HelveticaNeueLT Std" w:hAnsi="HelveticaNeueLT Std"/>
          <w:b/>
          <w:sz w:val="24"/>
          <w:szCs w:val="24"/>
        </w:rPr>
        <w:t>5</w:t>
      </w:r>
      <w:r w:rsidR="00105946" w:rsidRPr="007367CC">
        <w:rPr>
          <w:rFonts w:ascii="HelveticaNeueLT Std" w:hAnsi="HelveticaNeueLT Std"/>
          <w:b/>
          <w:sz w:val="24"/>
          <w:szCs w:val="24"/>
        </w:rPr>
        <w:t xml:space="preserve"> for Grey Road </w:t>
      </w:r>
      <w:r w:rsidR="00646E33">
        <w:rPr>
          <w:rFonts w:ascii="HelveticaNeueLT Std" w:hAnsi="HelveticaNeueLT Std"/>
          <w:b/>
          <w:sz w:val="24"/>
          <w:szCs w:val="24"/>
        </w:rPr>
        <w:t xml:space="preserve">29 Pulverize and </w:t>
      </w:r>
      <w:r w:rsidR="00D705CD">
        <w:rPr>
          <w:rFonts w:ascii="HelveticaNeueLT Std" w:hAnsi="HelveticaNeueLT Std"/>
          <w:b/>
          <w:sz w:val="24"/>
          <w:szCs w:val="24"/>
        </w:rPr>
        <w:t>Hot Mix</w:t>
      </w:r>
      <w:r w:rsidR="00105946" w:rsidRPr="007367CC">
        <w:rPr>
          <w:rFonts w:ascii="HelveticaNeueLT Std" w:hAnsi="HelveticaNeueLT Std"/>
          <w:b/>
          <w:sz w:val="24"/>
          <w:szCs w:val="24"/>
        </w:rPr>
        <w:t xml:space="preserve"> was issued on </w:t>
      </w:r>
      <w:r w:rsidR="00646E33">
        <w:rPr>
          <w:rFonts w:ascii="HelveticaNeueLT Std" w:hAnsi="HelveticaNeueLT Std"/>
          <w:b/>
          <w:sz w:val="24"/>
          <w:szCs w:val="24"/>
        </w:rPr>
        <w:t xml:space="preserve">Tuesday March 3, </w:t>
      </w:r>
      <w:r w:rsidR="00105946" w:rsidRPr="007367CC">
        <w:rPr>
          <w:rFonts w:ascii="HelveticaNeueLT Std" w:hAnsi="HelveticaNeueLT Std"/>
          <w:b/>
          <w:sz w:val="24"/>
          <w:szCs w:val="24"/>
        </w:rPr>
        <w:t>201</w:t>
      </w:r>
      <w:r w:rsidR="00E16386">
        <w:rPr>
          <w:rFonts w:ascii="HelveticaNeueLT Std" w:hAnsi="HelveticaNeueLT Std"/>
          <w:b/>
          <w:sz w:val="24"/>
          <w:szCs w:val="24"/>
        </w:rPr>
        <w:t>5</w:t>
      </w:r>
      <w:r w:rsidR="00105946" w:rsidRPr="007367CC">
        <w:rPr>
          <w:rFonts w:ascii="HelveticaNeueLT Std" w:hAnsi="HelveticaNeueLT Std"/>
          <w:b/>
          <w:sz w:val="24"/>
          <w:szCs w:val="24"/>
        </w:rPr>
        <w:t xml:space="preserve"> and closed on </w:t>
      </w:r>
      <w:r w:rsidR="00646E33">
        <w:rPr>
          <w:rFonts w:ascii="HelveticaNeueLT Std" w:hAnsi="HelveticaNeueLT Std"/>
          <w:b/>
          <w:sz w:val="24"/>
          <w:szCs w:val="24"/>
        </w:rPr>
        <w:t>Wednesday, March 25</w:t>
      </w:r>
      <w:r w:rsidR="00105946" w:rsidRPr="007367CC">
        <w:rPr>
          <w:rFonts w:ascii="HelveticaNeueLT Std" w:hAnsi="HelveticaNeueLT Std"/>
          <w:b/>
          <w:sz w:val="24"/>
          <w:szCs w:val="24"/>
        </w:rPr>
        <w:t>, 201</w:t>
      </w:r>
      <w:r w:rsidR="00E16386">
        <w:rPr>
          <w:rFonts w:ascii="HelveticaNeueLT Std" w:hAnsi="HelveticaNeueLT Std"/>
          <w:b/>
          <w:sz w:val="24"/>
          <w:szCs w:val="24"/>
        </w:rPr>
        <w:t>5</w:t>
      </w:r>
      <w:r w:rsidR="004A0A73" w:rsidRPr="007367CC">
        <w:rPr>
          <w:rFonts w:ascii="HelveticaNeueLT Std" w:hAnsi="HelveticaNeueLT Std"/>
          <w:b/>
          <w:sz w:val="24"/>
          <w:szCs w:val="24"/>
        </w:rPr>
        <w:t>;</w:t>
      </w:r>
    </w:p>
    <w:p w:rsidR="002966D1" w:rsidRPr="00ED2B3E" w:rsidRDefault="002966D1" w:rsidP="009741C4">
      <w:pPr>
        <w:rPr>
          <w:rFonts w:ascii="HelveticaNeueLT Std" w:hAnsi="HelveticaNeueLT Std"/>
          <w:b/>
          <w:sz w:val="24"/>
          <w:szCs w:val="24"/>
        </w:rPr>
      </w:pPr>
      <w:r w:rsidRPr="007367CC">
        <w:rPr>
          <w:rFonts w:ascii="HelveticaNeueLT Std" w:hAnsi="HelveticaNeueLT Std"/>
          <w:b/>
          <w:sz w:val="24"/>
          <w:szCs w:val="24"/>
        </w:rPr>
        <w:t>N</w:t>
      </w:r>
      <w:r w:rsidR="004021BB" w:rsidRPr="007367CC">
        <w:rPr>
          <w:rFonts w:ascii="HelveticaNeueLT Std" w:hAnsi="HelveticaNeueLT Std"/>
          <w:b/>
          <w:sz w:val="24"/>
          <w:szCs w:val="24"/>
        </w:rPr>
        <w:t>OW THEREFORE BE IT RESOLVED THAT</w:t>
      </w:r>
      <w:r w:rsidR="00CE4490" w:rsidRPr="007367CC">
        <w:rPr>
          <w:rFonts w:ascii="HelveticaNeueLT Std" w:hAnsi="HelveticaNeueLT Std"/>
          <w:b/>
          <w:sz w:val="24"/>
          <w:szCs w:val="24"/>
        </w:rPr>
        <w:t xml:space="preserve"> Report TR-TAPS-</w:t>
      </w:r>
      <w:r w:rsidR="00646E33">
        <w:rPr>
          <w:rFonts w:ascii="HelveticaNeueLT Std" w:hAnsi="HelveticaNeueLT Std"/>
          <w:b/>
          <w:sz w:val="24"/>
          <w:szCs w:val="24"/>
        </w:rPr>
        <w:t>32</w:t>
      </w:r>
      <w:r w:rsidR="00E16386">
        <w:rPr>
          <w:rFonts w:ascii="HelveticaNeueLT Std" w:hAnsi="HelveticaNeueLT Std"/>
          <w:b/>
          <w:sz w:val="24"/>
          <w:szCs w:val="24"/>
        </w:rPr>
        <w:t>-15</w:t>
      </w:r>
      <w:r w:rsidRPr="00ED2B3E">
        <w:rPr>
          <w:rFonts w:ascii="HelveticaNeueLT Std" w:hAnsi="HelveticaNeueLT Std"/>
          <w:b/>
          <w:sz w:val="24"/>
          <w:szCs w:val="24"/>
        </w:rPr>
        <w:t xml:space="preserve"> be</w:t>
      </w:r>
      <w:r w:rsidR="00105946">
        <w:rPr>
          <w:rFonts w:ascii="HelveticaNeueLT Std" w:hAnsi="HelveticaNeueLT Std"/>
          <w:b/>
          <w:sz w:val="24"/>
          <w:szCs w:val="24"/>
        </w:rPr>
        <w:t>ing a report containing the tender results for RFT-TS-</w:t>
      </w:r>
      <w:r w:rsidR="00646E33">
        <w:rPr>
          <w:rFonts w:ascii="HelveticaNeueLT Std" w:hAnsi="HelveticaNeueLT Std"/>
          <w:b/>
          <w:sz w:val="24"/>
          <w:szCs w:val="24"/>
        </w:rPr>
        <w:t>09</w:t>
      </w:r>
      <w:r w:rsidR="00105946">
        <w:rPr>
          <w:rFonts w:ascii="HelveticaNeueLT Std" w:hAnsi="HelveticaNeueLT Std"/>
          <w:b/>
          <w:sz w:val="24"/>
          <w:szCs w:val="24"/>
        </w:rPr>
        <w:t>-1</w:t>
      </w:r>
      <w:r w:rsidR="00E16386">
        <w:rPr>
          <w:rFonts w:ascii="HelveticaNeueLT Std" w:hAnsi="HelveticaNeueLT Std"/>
          <w:b/>
          <w:sz w:val="24"/>
          <w:szCs w:val="24"/>
        </w:rPr>
        <w:t>5</w:t>
      </w:r>
      <w:r w:rsidR="00105946">
        <w:rPr>
          <w:rFonts w:ascii="HelveticaNeueLT Std" w:hAnsi="HelveticaNeueLT Std"/>
          <w:b/>
          <w:sz w:val="24"/>
          <w:szCs w:val="24"/>
        </w:rPr>
        <w:t xml:space="preserve"> </w:t>
      </w:r>
      <w:proofErr w:type="gramStart"/>
      <w:r w:rsidR="00105946">
        <w:rPr>
          <w:rFonts w:ascii="HelveticaNeueLT Std" w:hAnsi="HelveticaNeueLT Std"/>
          <w:b/>
          <w:sz w:val="24"/>
          <w:szCs w:val="24"/>
        </w:rPr>
        <w:t>be</w:t>
      </w:r>
      <w:proofErr w:type="gramEnd"/>
      <w:r w:rsidR="00105946">
        <w:rPr>
          <w:rFonts w:ascii="HelveticaNeueLT Std" w:hAnsi="HelveticaNeueLT Std"/>
          <w:b/>
          <w:sz w:val="24"/>
          <w:szCs w:val="24"/>
        </w:rPr>
        <w:t xml:space="preserve"> </w:t>
      </w:r>
      <w:r w:rsidRPr="00ED2B3E">
        <w:rPr>
          <w:rFonts w:ascii="HelveticaNeueLT Std" w:hAnsi="HelveticaNeueLT Std"/>
          <w:b/>
          <w:sz w:val="24"/>
          <w:szCs w:val="24"/>
        </w:rPr>
        <w:t>received;</w:t>
      </w:r>
    </w:p>
    <w:p w:rsidR="005C4983" w:rsidRDefault="00407CAF" w:rsidP="001B54A8">
      <w:pPr>
        <w:spacing w:after="120"/>
        <w:ind w:right="-990"/>
        <w:rPr>
          <w:rFonts w:ascii="HelveticaNeueLT Std" w:hAnsi="HelveticaNeueLT Std"/>
          <w:b/>
          <w:sz w:val="24"/>
          <w:szCs w:val="24"/>
        </w:rPr>
      </w:pPr>
      <w:r w:rsidRPr="00ED2B3E">
        <w:rPr>
          <w:rFonts w:ascii="HelveticaNeueLT Std" w:hAnsi="HelveticaNeueLT Std"/>
          <w:b/>
          <w:sz w:val="24"/>
          <w:szCs w:val="24"/>
        </w:rPr>
        <w:t>AND THAT</w:t>
      </w:r>
      <w:r w:rsidR="00EB1C60" w:rsidRPr="00ED2B3E">
        <w:rPr>
          <w:rFonts w:ascii="HelveticaNeueLT Std" w:hAnsi="HelveticaNeueLT Std"/>
          <w:b/>
          <w:sz w:val="24"/>
          <w:szCs w:val="24"/>
        </w:rPr>
        <w:t xml:space="preserve"> </w:t>
      </w:r>
      <w:r w:rsidR="00105946">
        <w:rPr>
          <w:rFonts w:ascii="HelveticaNeueLT Std" w:hAnsi="HelveticaNeueLT Std"/>
          <w:b/>
          <w:sz w:val="24"/>
          <w:szCs w:val="24"/>
        </w:rPr>
        <w:t>RFT-TS-</w:t>
      </w:r>
      <w:r w:rsidR="00646E33">
        <w:rPr>
          <w:rFonts w:ascii="HelveticaNeueLT Std" w:hAnsi="HelveticaNeueLT Std"/>
          <w:b/>
          <w:sz w:val="24"/>
          <w:szCs w:val="24"/>
        </w:rPr>
        <w:t>09</w:t>
      </w:r>
      <w:r w:rsidR="00105946">
        <w:rPr>
          <w:rFonts w:ascii="HelveticaNeueLT Std" w:hAnsi="HelveticaNeueLT Std"/>
          <w:b/>
          <w:sz w:val="24"/>
          <w:szCs w:val="24"/>
        </w:rPr>
        <w:t>-1</w:t>
      </w:r>
      <w:r w:rsidR="00957D85">
        <w:rPr>
          <w:rFonts w:ascii="HelveticaNeueLT Std" w:hAnsi="HelveticaNeueLT Std"/>
          <w:b/>
          <w:sz w:val="24"/>
          <w:szCs w:val="24"/>
        </w:rPr>
        <w:t>5</w:t>
      </w:r>
      <w:r w:rsidR="00105946">
        <w:rPr>
          <w:rFonts w:ascii="HelveticaNeueLT Std" w:hAnsi="HelveticaNeueLT Std"/>
          <w:b/>
          <w:sz w:val="24"/>
          <w:szCs w:val="24"/>
        </w:rPr>
        <w:t xml:space="preserve"> </w:t>
      </w:r>
      <w:proofErr w:type="gramStart"/>
      <w:r w:rsidR="00105946">
        <w:rPr>
          <w:rFonts w:ascii="HelveticaNeueLT Std" w:hAnsi="HelveticaNeueLT Std"/>
          <w:b/>
          <w:sz w:val="24"/>
          <w:szCs w:val="24"/>
        </w:rPr>
        <w:t>be</w:t>
      </w:r>
      <w:proofErr w:type="gramEnd"/>
      <w:r w:rsidR="00105946">
        <w:rPr>
          <w:rFonts w:ascii="HelveticaNeueLT Std" w:hAnsi="HelveticaNeueLT Std"/>
          <w:b/>
          <w:sz w:val="24"/>
          <w:szCs w:val="24"/>
        </w:rPr>
        <w:t xml:space="preserve"> awarded to</w:t>
      </w:r>
      <w:r w:rsidR="00B12CE3">
        <w:rPr>
          <w:rFonts w:ascii="HelveticaNeueLT Std" w:hAnsi="HelveticaNeueLT Std"/>
          <w:b/>
          <w:sz w:val="24"/>
          <w:szCs w:val="24"/>
        </w:rPr>
        <w:t xml:space="preserve"> </w:t>
      </w:r>
      <w:r w:rsidR="00646E33">
        <w:rPr>
          <w:rFonts w:ascii="HelveticaNeueLT Std" w:hAnsi="HelveticaNeueLT Std"/>
          <w:b/>
          <w:sz w:val="24"/>
          <w:szCs w:val="24"/>
        </w:rPr>
        <w:t xml:space="preserve">Harold Sutherland Construction Ltd. </w:t>
      </w:r>
      <w:r w:rsidR="00105946">
        <w:rPr>
          <w:rFonts w:ascii="HelveticaNeueLT Std" w:hAnsi="HelveticaNeueLT Std"/>
          <w:b/>
          <w:sz w:val="24"/>
          <w:szCs w:val="24"/>
        </w:rPr>
        <w:t>for a bid price of $</w:t>
      </w:r>
      <w:r w:rsidR="00646E33">
        <w:rPr>
          <w:rFonts w:ascii="HelveticaNeueLT Std" w:hAnsi="HelveticaNeueLT Std"/>
          <w:b/>
          <w:sz w:val="24"/>
          <w:szCs w:val="24"/>
        </w:rPr>
        <w:t>354,296.60</w:t>
      </w:r>
      <w:r w:rsidR="000C6B4F">
        <w:rPr>
          <w:rFonts w:ascii="HelveticaNeueLT Std" w:hAnsi="HelveticaNeueLT Std"/>
          <w:b/>
          <w:sz w:val="24"/>
          <w:szCs w:val="24"/>
        </w:rPr>
        <w:t>,</w:t>
      </w:r>
      <w:r w:rsidR="00105946">
        <w:rPr>
          <w:rFonts w:ascii="HelveticaNeueLT Std" w:hAnsi="HelveticaNeueLT Std"/>
          <w:b/>
          <w:sz w:val="24"/>
          <w:szCs w:val="24"/>
        </w:rPr>
        <w:t xml:space="preserve"> excluding HST;</w:t>
      </w:r>
    </w:p>
    <w:p w:rsidR="001A44F5" w:rsidRDefault="001A44F5" w:rsidP="001A44F5">
      <w:pPr>
        <w:spacing w:after="120"/>
        <w:ind w:right="-990"/>
        <w:rPr>
          <w:rFonts w:ascii="HelveticaNeueLT Std" w:hAnsi="HelveticaNeueLT Std"/>
          <w:b/>
          <w:sz w:val="24"/>
          <w:szCs w:val="24"/>
        </w:rPr>
      </w:pPr>
      <w:r>
        <w:rPr>
          <w:rFonts w:ascii="HelveticaNeueLT Std" w:hAnsi="HelveticaNeueLT Std"/>
          <w:b/>
          <w:sz w:val="24"/>
          <w:szCs w:val="24"/>
        </w:rPr>
        <w:t>AND THAT with a 10% contingency</w:t>
      </w:r>
      <w:r w:rsidR="00D705CD">
        <w:rPr>
          <w:rFonts w:ascii="HelveticaNeueLT Std" w:hAnsi="HelveticaNeueLT Std"/>
          <w:b/>
          <w:sz w:val="24"/>
          <w:szCs w:val="24"/>
        </w:rPr>
        <w:t xml:space="preserve">, </w:t>
      </w:r>
      <w:r>
        <w:rPr>
          <w:rFonts w:ascii="HelveticaNeueLT Std" w:hAnsi="HelveticaNeueLT Std"/>
          <w:b/>
          <w:sz w:val="24"/>
          <w:szCs w:val="24"/>
        </w:rPr>
        <w:t>5% engineering and quality assurance allowances</w:t>
      </w:r>
      <w:r w:rsidR="00D705CD">
        <w:rPr>
          <w:rFonts w:ascii="HelveticaNeueLT Std" w:hAnsi="HelveticaNeueLT Std"/>
          <w:b/>
          <w:sz w:val="24"/>
          <w:szCs w:val="24"/>
        </w:rPr>
        <w:t xml:space="preserve">, and tree removal costs </w:t>
      </w:r>
      <w:r>
        <w:rPr>
          <w:rFonts w:ascii="HelveticaNeueLT Std" w:hAnsi="HelveticaNeueLT Std"/>
          <w:b/>
          <w:sz w:val="24"/>
          <w:szCs w:val="24"/>
        </w:rPr>
        <w:t>added to the tender price</w:t>
      </w:r>
      <w:r w:rsidR="00D705CD">
        <w:rPr>
          <w:rFonts w:ascii="HelveticaNeueLT Std" w:hAnsi="HelveticaNeueLT Std"/>
          <w:b/>
          <w:sz w:val="24"/>
          <w:szCs w:val="24"/>
        </w:rPr>
        <w:t>,</w:t>
      </w:r>
      <w:r>
        <w:rPr>
          <w:rFonts w:ascii="HelveticaNeueLT Std" w:hAnsi="HelveticaNeueLT Std"/>
          <w:b/>
          <w:sz w:val="24"/>
          <w:szCs w:val="24"/>
        </w:rPr>
        <w:t xml:space="preserve"> the revised estimated budget for this project is $445,</w:t>
      </w:r>
      <w:r w:rsidR="00D705CD">
        <w:rPr>
          <w:rFonts w:ascii="HelveticaNeueLT Std" w:hAnsi="HelveticaNeueLT Std"/>
          <w:b/>
          <w:sz w:val="24"/>
          <w:szCs w:val="24"/>
        </w:rPr>
        <w:t>6</w:t>
      </w:r>
      <w:r>
        <w:rPr>
          <w:rFonts w:ascii="HelveticaNeueLT Std" w:hAnsi="HelveticaNeueLT Std"/>
          <w:b/>
          <w:sz w:val="24"/>
          <w:szCs w:val="24"/>
        </w:rPr>
        <w:t>12.05;</w:t>
      </w:r>
    </w:p>
    <w:p w:rsidR="003670BD" w:rsidRPr="00670B77" w:rsidRDefault="003670BD" w:rsidP="003670BD">
      <w:pPr>
        <w:spacing w:after="120"/>
        <w:ind w:right="-990"/>
        <w:rPr>
          <w:rFonts w:ascii="HelveticaNeueLT Std" w:hAnsi="HelveticaNeueLT Std"/>
          <w:b/>
          <w:sz w:val="24"/>
          <w:szCs w:val="24"/>
        </w:rPr>
      </w:pPr>
      <w:r w:rsidRPr="00670B77">
        <w:rPr>
          <w:rFonts w:ascii="HelveticaNeueLT Std" w:hAnsi="HelveticaNeueLT Std"/>
          <w:b/>
          <w:sz w:val="24"/>
          <w:szCs w:val="24"/>
        </w:rPr>
        <w:t xml:space="preserve">AND THAT the </w:t>
      </w:r>
      <w:r>
        <w:rPr>
          <w:rFonts w:ascii="HelveticaNeueLT Std" w:hAnsi="HelveticaNeueLT Std"/>
          <w:b/>
          <w:sz w:val="24"/>
          <w:szCs w:val="24"/>
        </w:rPr>
        <w:t>shortfall of $92,649.05 be funded as per TR-TAPS-45-15 Construction, Resurfacing and Minor Capital Budget update report.</w:t>
      </w:r>
    </w:p>
    <w:p w:rsidR="003C2DFE" w:rsidRPr="00670B77" w:rsidRDefault="00075BEB" w:rsidP="00670B77">
      <w:pPr>
        <w:pStyle w:val="Heading2"/>
      </w:pPr>
      <w:r w:rsidRPr="00670B77">
        <w:t>Background</w:t>
      </w:r>
    </w:p>
    <w:p w:rsidR="001A44F5" w:rsidRDefault="00E14328" w:rsidP="003C2DFE">
      <w:pPr>
        <w:rPr>
          <w:rFonts w:ascii="HelveticaNeueLT Std" w:hAnsi="HelveticaNeueLT Std"/>
          <w:sz w:val="24"/>
          <w:szCs w:val="24"/>
        </w:rPr>
      </w:pPr>
      <w:r>
        <w:rPr>
          <w:rFonts w:ascii="HelveticaNeueLT Std" w:hAnsi="HelveticaNeueLT Std"/>
          <w:sz w:val="24"/>
          <w:szCs w:val="24"/>
        </w:rPr>
        <w:t xml:space="preserve">The </w:t>
      </w:r>
      <w:r w:rsidR="00670B77">
        <w:rPr>
          <w:rFonts w:ascii="HelveticaNeueLT Std" w:hAnsi="HelveticaNeueLT Std"/>
          <w:sz w:val="24"/>
          <w:szCs w:val="24"/>
        </w:rPr>
        <w:t>t</w:t>
      </w:r>
      <w:r w:rsidR="00386EB1">
        <w:rPr>
          <w:rFonts w:ascii="HelveticaNeueLT Std" w:hAnsi="HelveticaNeueLT Std"/>
          <w:sz w:val="24"/>
          <w:szCs w:val="24"/>
        </w:rPr>
        <w:t xml:space="preserve">ender for the </w:t>
      </w:r>
      <w:r w:rsidR="00670B77">
        <w:rPr>
          <w:rFonts w:ascii="HelveticaNeueLT Std" w:hAnsi="HelveticaNeueLT Std"/>
          <w:sz w:val="24"/>
          <w:szCs w:val="24"/>
        </w:rPr>
        <w:t>r</w:t>
      </w:r>
      <w:r w:rsidR="00957D85">
        <w:rPr>
          <w:rFonts w:ascii="HelveticaNeueLT Std" w:hAnsi="HelveticaNeueLT Std"/>
          <w:sz w:val="24"/>
          <w:szCs w:val="24"/>
        </w:rPr>
        <w:t>econstruction</w:t>
      </w:r>
      <w:r w:rsidR="00386EB1">
        <w:rPr>
          <w:rFonts w:ascii="HelveticaNeueLT Std" w:hAnsi="HelveticaNeueLT Std"/>
          <w:sz w:val="24"/>
          <w:szCs w:val="24"/>
        </w:rPr>
        <w:t xml:space="preserve"> of Grey Road </w:t>
      </w:r>
      <w:r w:rsidR="00646E33">
        <w:rPr>
          <w:rFonts w:ascii="HelveticaNeueLT Std" w:hAnsi="HelveticaNeueLT Std"/>
          <w:sz w:val="24"/>
          <w:szCs w:val="24"/>
        </w:rPr>
        <w:t>2</w:t>
      </w:r>
      <w:r w:rsidR="00957D85">
        <w:rPr>
          <w:rFonts w:ascii="HelveticaNeueLT Std" w:hAnsi="HelveticaNeueLT Std"/>
          <w:sz w:val="24"/>
          <w:szCs w:val="24"/>
        </w:rPr>
        <w:t>9</w:t>
      </w:r>
      <w:r w:rsidR="00386EB1">
        <w:rPr>
          <w:rFonts w:ascii="HelveticaNeueLT Std" w:hAnsi="HelveticaNeueLT Std"/>
          <w:sz w:val="24"/>
          <w:szCs w:val="24"/>
        </w:rPr>
        <w:t xml:space="preserve"> was posted on the County of Grey</w:t>
      </w:r>
      <w:r w:rsidR="000C6B4F">
        <w:rPr>
          <w:rFonts w:ascii="HelveticaNeueLT Std" w:hAnsi="HelveticaNeueLT Std"/>
          <w:sz w:val="24"/>
          <w:szCs w:val="24"/>
        </w:rPr>
        <w:t>’s</w:t>
      </w:r>
      <w:r w:rsidR="00386EB1">
        <w:rPr>
          <w:rFonts w:ascii="HelveticaNeueLT Std" w:hAnsi="HelveticaNeueLT Std"/>
          <w:sz w:val="24"/>
          <w:szCs w:val="24"/>
        </w:rPr>
        <w:t xml:space="preserve"> </w:t>
      </w:r>
      <w:r w:rsidR="000C6B4F">
        <w:rPr>
          <w:rFonts w:ascii="HelveticaNeueLT Std" w:hAnsi="HelveticaNeueLT Std"/>
          <w:sz w:val="24"/>
          <w:szCs w:val="24"/>
        </w:rPr>
        <w:t>w</w:t>
      </w:r>
      <w:r w:rsidR="00386EB1">
        <w:rPr>
          <w:rFonts w:ascii="HelveticaNeueLT Std" w:hAnsi="HelveticaNeueLT Std"/>
          <w:sz w:val="24"/>
          <w:szCs w:val="24"/>
        </w:rPr>
        <w:t xml:space="preserve">ebsite from </w:t>
      </w:r>
      <w:r w:rsidR="00646E33">
        <w:rPr>
          <w:rFonts w:ascii="HelveticaNeueLT Std" w:hAnsi="HelveticaNeueLT Std"/>
          <w:sz w:val="24"/>
          <w:szCs w:val="24"/>
        </w:rPr>
        <w:t>Tuesday, March 3, 2015 to Wednesday, March 25, 2015</w:t>
      </w:r>
      <w:r w:rsidR="00DE0F2F">
        <w:rPr>
          <w:rFonts w:ascii="HelveticaNeueLT Std" w:hAnsi="HelveticaNeueLT Std"/>
          <w:sz w:val="24"/>
          <w:szCs w:val="24"/>
        </w:rPr>
        <w:t>.</w:t>
      </w:r>
      <w:r w:rsidR="002B538F">
        <w:rPr>
          <w:rFonts w:ascii="HelveticaNeueLT Std" w:hAnsi="HelveticaNeueLT Std"/>
          <w:sz w:val="24"/>
          <w:szCs w:val="24"/>
        </w:rPr>
        <w:t xml:space="preserve">  </w:t>
      </w:r>
    </w:p>
    <w:p w:rsidR="001A44F5" w:rsidRDefault="001A44F5" w:rsidP="003C2DFE">
      <w:pPr>
        <w:rPr>
          <w:rFonts w:ascii="HelveticaNeueLT Std" w:hAnsi="HelveticaNeueLT Std"/>
          <w:sz w:val="24"/>
          <w:szCs w:val="24"/>
        </w:rPr>
      </w:pPr>
      <w:r>
        <w:rPr>
          <w:rFonts w:ascii="HelveticaNeueLT Std" w:hAnsi="HelveticaNeueLT Std"/>
          <w:sz w:val="24"/>
          <w:szCs w:val="24"/>
        </w:rPr>
        <w:t xml:space="preserve">This section of Grey Road is surface treated. </w:t>
      </w:r>
      <w:r w:rsidR="00D705CD">
        <w:rPr>
          <w:rFonts w:ascii="HelveticaNeueLT Std" w:hAnsi="HelveticaNeueLT Std"/>
          <w:sz w:val="24"/>
          <w:szCs w:val="24"/>
        </w:rPr>
        <w:t xml:space="preserve"> </w:t>
      </w:r>
      <w:r>
        <w:rPr>
          <w:rFonts w:ascii="HelveticaNeueLT Std" w:hAnsi="HelveticaNeueLT Std"/>
          <w:sz w:val="24"/>
          <w:szCs w:val="24"/>
        </w:rPr>
        <w:t xml:space="preserve">The surface is cracked and distorted and requires significant maintenance. </w:t>
      </w:r>
      <w:r w:rsidR="00D705CD">
        <w:rPr>
          <w:rFonts w:ascii="HelveticaNeueLT Std" w:hAnsi="HelveticaNeueLT Std"/>
          <w:sz w:val="24"/>
          <w:szCs w:val="24"/>
        </w:rPr>
        <w:t xml:space="preserve"> </w:t>
      </w:r>
      <w:r>
        <w:rPr>
          <w:rFonts w:ascii="HelveticaNeueLT Std" w:hAnsi="HelveticaNeueLT Std"/>
          <w:sz w:val="24"/>
          <w:szCs w:val="24"/>
        </w:rPr>
        <w:t>In addition</w:t>
      </w:r>
      <w:r w:rsidR="00D705CD">
        <w:rPr>
          <w:rFonts w:ascii="HelveticaNeueLT Std" w:hAnsi="HelveticaNeueLT Std"/>
          <w:sz w:val="24"/>
          <w:szCs w:val="24"/>
        </w:rPr>
        <w:t>,</w:t>
      </w:r>
      <w:r>
        <w:rPr>
          <w:rFonts w:ascii="HelveticaNeueLT Std" w:hAnsi="HelveticaNeueLT Std"/>
          <w:sz w:val="24"/>
          <w:szCs w:val="24"/>
        </w:rPr>
        <w:t xml:space="preserve"> there is one area that has no road drainage </w:t>
      </w:r>
      <w:r>
        <w:rPr>
          <w:rFonts w:ascii="HelveticaNeueLT Std" w:hAnsi="HelveticaNeueLT Std"/>
          <w:sz w:val="24"/>
          <w:szCs w:val="24"/>
        </w:rPr>
        <w:lastRenderedPageBreak/>
        <w:t xml:space="preserve">which has resulted in significant heaving and distortions. </w:t>
      </w:r>
      <w:r w:rsidR="00D705CD">
        <w:rPr>
          <w:rFonts w:ascii="HelveticaNeueLT Std" w:hAnsi="HelveticaNeueLT Std"/>
          <w:sz w:val="24"/>
          <w:szCs w:val="24"/>
        </w:rPr>
        <w:t xml:space="preserve"> </w:t>
      </w:r>
      <w:r>
        <w:rPr>
          <w:rFonts w:ascii="HelveticaNeueLT Std" w:hAnsi="HelveticaNeueLT Std"/>
          <w:sz w:val="24"/>
          <w:szCs w:val="24"/>
        </w:rPr>
        <w:t>The contract also includes updating the guiderail to current standards for safety reasons.</w:t>
      </w:r>
    </w:p>
    <w:p w:rsidR="00DE0F2F" w:rsidRDefault="00DE0F2F" w:rsidP="006C0201">
      <w:pPr>
        <w:keepNext/>
        <w:keepLines/>
        <w:rPr>
          <w:rFonts w:ascii="HelveticaNeueLT Std" w:hAnsi="HelveticaNeueLT Std"/>
          <w:sz w:val="24"/>
          <w:szCs w:val="24"/>
        </w:rPr>
      </w:pPr>
      <w:r>
        <w:rPr>
          <w:rFonts w:ascii="HelveticaNeueLT Std" w:hAnsi="HelveticaNeueLT Std"/>
          <w:sz w:val="24"/>
          <w:szCs w:val="24"/>
        </w:rPr>
        <w:t>The bid summary is listed below:</w:t>
      </w:r>
    </w:p>
    <w:p w:rsidR="0016274F" w:rsidRDefault="00D705CD" w:rsidP="006C0201">
      <w:pPr>
        <w:keepNext/>
        <w:keepLines/>
        <w:rPr>
          <w:rFonts w:ascii="HelveticaNeueLT Std" w:hAnsi="HelveticaNeueLT Std"/>
          <w:sz w:val="24"/>
          <w:szCs w:val="24"/>
        </w:rPr>
      </w:pPr>
      <w:r>
        <w:rPr>
          <w:rFonts w:ascii="HelveticaNeueLT Std" w:hAnsi="HelveticaNeueLT Std"/>
          <w:sz w:val="24"/>
          <w:szCs w:val="24"/>
        </w:rPr>
        <w:t>RFT-TS-09</w:t>
      </w:r>
      <w:r w:rsidR="00893298">
        <w:rPr>
          <w:rFonts w:ascii="HelveticaNeueLT Std" w:hAnsi="HelveticaNeueLT Std"/>
          <w:sz w:val="24"/>
          <w:szCs w:val="24"/>
        </w:rPr>
        <w:t>-1</w:t>
      </w:r>
      <w:r w:rsidR="002B2881">
        <w:rPr>
          <w:rFonts w:ascii="HelveticaNeueLT Std" w:hAnsi="HelveticaNeueLT Std"/>
          <w:sz w:val="24"/>
          <w:szCs w:val="24"/>
        </w:rPr>
        <w:t>5</w:t>
      </w:r>
      <w:r w:rsidR="00893298">
        <w:rPr>
          <w:rFonts w:ascii="HelveticaNeueLT Std" w:hAnsi="HelveticaNeueLT Std"/>
          <w:sz w:val="24"/>
          <w:szCs w:val="24"/>
        </w:rPr>
        <w:t xml:space="preserve"> – Grey Road </w:t>
      </w:r>
      <w:r w:rsidR="0067047E">
        <w:rPr>
          <w:rFonts w:ascii="HelveticaNeueLT Std" w:hAnsi="HelveticaNeueLT Std"/>
          <w:sz w:val="24"/>
          <w:szCs w:val="24"/>
        </w:rPr>
        <w:t>2</w:t>
      </w:r>
      <w:r w:rsidR="00F74424">
        <w:rPr>
          <w:rFonts w:ascii="HelveticaNeueLT Std" w:hAnsi="HelveticaNeueLT Std"/>
          <w:sz w:val="24"/>
          <w:szCs w:val="24"/>
        </w:rPr>
        <w:t xml:space="preserve">9 </w:t>
      </w:r>
      <w:r>
        <w:rPr>
          <w:rFonts w:ascii="HelveticaNeueLT Std" w:hAnsi="HelveticaNeueLT Std"/>
          <w:sz w:val="24"/>
          <w:szCs w:val="24"/>
        </w:rPr>
        <w:t>Pulverize and Hot Mix</w:t>
      </w:r>
      <w:r w:rsidR="00F74424">
        <w:rPr>
          <w:rFonts w:ascii="HelveticaNeueLT Std" w:hAnsi="HelveticaNeueLT Std"/>
          <w:sz w:val="24"/>
          <w:szCs w:val="24"/>
        </w:rPr>
        <w:t xml:space="preserve"> </w:t>
      </w:r>
      <w:r w:rsidR="00893298">
        <w:rPr>
          <w:rFonts w:ascii="HelveticaNeueLT Std" w:hAnsi="HelveticaNeueLT Std"/>
          <w:sz w:val="24"/>
          <w:szCs w:val="24"/>
        </w:rPr>
        <w:t>(</w:t>
      </w:r>
      <w:r w:rsidR="0067047E">
        <w:rPr>
          <w:rFonts w:ascii="HelveticaNeueLT Std" w:hAnsi="HelveticaNeueLT Std"/>
          <w:sz w:val="24"/>
          <w:szCs w:val="24"/>
        </w:rPr>
        <w:t>2.1</w:t>
      </w:r>
      <w:r w:rsidR="0016274F" w:rsidRPr="0016274F">
        <w:rPr>
          <w:rFonts w:ascii="HelveticaNeueLT Std" w:hAnsi="HelveticaNeueLT Std"/>
          <w:sz w:val="24"/>
          <w:szCs w:val="24"/>
        </w:rPr>
        <w:t xml:space="preserve"> km)</w:t>
      </w:r>
      <w:r w:rsidR="0016274F">
        <w:rPr>
          <w:rFonts w:ascii="HelveticaNeueLT Std" w:hAnsi="HelveticaNeueLT Std"/>
          <w:sz w:val="24"/>
          <w:szCs w:val="24"/>
        </w:rPr>
        <w:t>.</w:t>
      </w:r>
    </w:p>
    <w:tbl>
      <w:tblPr>
        <w:tblStyle w:val="TableGrid"/>
        <w:tblW w:w="0" w:type="auto"/>
        <w:tblInd w:w="108" w:type="dxa"/>
        <w:tblLook w:val="04A0" w:firstRow="1" w:lastRow="0" w:firstColumn="1" w:lastColumn="0" w:noHBand="0" w:noVBand="1"/>
        <w:tblCaption w:val="Tender Results"/>
        <w:tblDescription w:val="Tender Results"/>
      </w:tblPr>
      <w:tblGrid>
        <w:gridCol w:w="4770"/>
        <w:gridCol w:w="4230"/>
      </w:tblGrid>
      <w:tr w:rsidR="0016274F" w:rsidTr="0016274F">
        <w:trPr>
          <w:tblHeader/>
        </w:trPr>
        <w:tc>
          <w:tcPr>
            <w:tcW w:w="4770" w:type="dxa"/>
            <w:shd w:val="clear" w:color="auto" w:fill="D9D9D9" w:themeFill="background1" w:themeFillShade="D9"/>
          </w:tcPr>
          <w:p w:rsidR="0016274F" w:rsidRPr="00670B77" w:rsidRDefault="0016274F" w:rsidP="006C0201">
            <w:pPr>
              <w:keepNext/>
              <w:keepLines/>
              <w:spacing w:before="120" w:after="120"/>
              <w:jc w:val="center"/>
              <w:rPr>
                <w:rFonts w:ascii="HelveticaNeueLT Std" w:hAnsi="HelveticaNeueLT Std"/>
                <w:b/>
                <w:sz w:val="24"/>
                <w:szCs w:val="24"/>
              </w:rPr>
            </w:pPr>
            <w:r w:rsidRPr="00670B77">
              <w:rPr>
                <w:rFonts w:ascii="HelveticaNeueLT Std" w:hAnsi="HelveticaNeueLT Std"/>
                <w:b/>
                <w:sz w:val="24"/>
                <w:szCs w:val="24"/>
              </w:rPr>
              <w:t>Name of Bidder</w:t>
            </w:r>
          </w:p>
        </w:tc>
        <w:tc>
          <w:tcPr>
            <w:tcW w:w="4230" w:type="dxa"/>
            <w:shd w:val="clear" w:color="auto" w:fill="D9D9D9" w:themeFill="background1" w:themeFillShade="D9"/>
          </w:tcPr>
          <w:p w:rsidR="0016274F" w:rsidRPr="00670B77" w:rsidRDefault="0016274F" w:rsidP="006C0201">
            <w:pPr>
              <w:keepNext/>
              <w:keepLines/>
              <w:spacing w:before="120" w:after="120"/>
              <w:jc w:val="center"/>
              <w:rPr>
                <w:rFonts w:ascii="HelveticaNeueLT Std" w:hAnsi="HelveticaNeueLT Std"/>
                <w:b/>
                <w:sz w:val="24"/>
                <w:szCs w:val="24"/>
              </w:rPr>
            </w:pPr>
            <w:r w:rsidRPr="00670B77">
              <w:rPr>
                <w:rFonts w:ascii="HelveticaNeueLT Std" w:hAnsi="HelveticaNeueLT Std"/>
                <w:b/>
                <w:sz w:val="24"/>
                <w:szCs w:val="24"/>
              </w:rPr>
              <w:t>Total Bid Amount (excluding taxes)</w:t>
            </w:r>
          </w:p>
        </w:tc>
      </w:tr>
      <w:tr w:rsidR="00366609" w:rsidTr="0016274F">
        <w:tc>
          <w:tcPr>
            <w:tcW w:w="4770" w:type="dxa"/>
            <w:vAlign w:val="center"/>
          </w:tcPr>
          <w:p w:rsidR="00366609" w:rsidRPr="00670B77" w:rsidRDefault="00366609" w:rsidP="000205CC">
            <w:pPr>
              <w:keepNext/>
              <w:keepLines/>
              <w:spacing w:before="120" w:after="120"/>
              <w:jc w:val="center"/>
              <w:rPr>
                <w:rFonts w:ascii="HelveticaNeueLT Std" w:hAnsi="HelveticaNeueLT Std"/>
                <w:sz w:val="24"/>
                <w:szCs w:val="24"/>
              </w:rPr>
            </w:pPr>
            <w:r w:rsidRPr="00670B77">
              <w:rPr>
                <w:rFonts w:ascii="HelveticaNeueLT Std" w:hAnsi="HelveticaNeueLT Std"/>
                <w:sz w:val="24"/>
                <w:szCs w:val="24"/>
              </w:rPr>
              <w:t>E.C. King Contracting</w:t>
            </w:r>
          </w:p>
        </w:tc>
        <w:tc>
          <w:tcPr>
            <w:tcW w:w="4230" w:type="dxa"/>
            <w:vAlign w:val="center"/>
          </w:tcPr>
          <w:p w:rsidR="00366609" w:rsidRPr="00670B77" w:rsidRDefault="00366609" w:rsidP="000205CC">
            <w:pPr>
              <w:keepNext/>
              <w:keepLines/>
              <w:spacing w:before="120" w:after="120"/>
              <w:jc w:val="center"/>
              <w:rPr>
                <w:rFonts w:ascii="HelveticaNeueLT Std" w:hAnsi="HelveticaNeueLT Std"/>
                <w:sz w:val="24"/>
                <w:szCs w:val="24"/>
                <w:highlight w:val="yellow"/>
              </w:rPr>
            </w:pPr>
            <w:r w:rsidRPr="00670B77">
              <w:rPr>
                <w:rFonts w:ascii="HelveticaNeueLT Std" w:hAnsi="HelveticaNeueLT Std"/>
                <w:sz w:val="24"/>
                <w:szCs w:val="24"/>
              </w:rPr>
              <w:t>$</w:t>
            </w:r>
            <w:r>
              <w:rPr>
                <w:rFonts w:ascii="HelveticaNeueLT Std" w:hAnsi="HelveticaNeueLT Std"/>
                <w:sz w:val="24"/>
                <w:szCs w:val="24"/>
              </w:rPr>
              <w:t>361,528.80</w:t>
            </w:r>
          </w:p>
        </w:tc>
      </w:tr>
      <w:tr w:rsidR="00366609" w:rsidTr="0016274F">
        <w:tc>
          <w:tcPr>
            <w:tcW w:w="4770" w:type="dxa"/>
            <w:vAlign w:val="center"/>
          </w:tcPr>
          <w:p w:rsidR="00366609" w:rsidRPr="007361A3" w:rsidRDefault="00366609" w:rsidP="000205CC">
            <w:pPr>
              <w:keepNext/>
              <w:keepLines/>
              <w:spacing w:before="120" w:after="120"/>
              <w:jc w:val="center"/>
              <w:rPr>
                <w:rFonts w:ascii="HelveticaNeueLT Std" w:hAnsi="HelveticaNeueLT Std"/>
                <w:b/>
                <w:sz w:val="24"/>
                <w:szCs w:val="24"/>
              </w:rPr>
            </w:pPr>
            <w:r w:rsidRPr="007361A3">
              <w:rPr>
                <w:rFonts w:ascii="HelveticaNeueLT Std" w:hAnsi="HelveticaNeueLT Std"/>
                <w:b/>
                <w:sz w:val="24"/>
                <w:szCs w:val="24"/>
              </w:rPr>
              <w:t>Harold Sutherland Construction</w:t>
            </w:r>
          </w:p>
        </w:tc>
        <w:tc>
          <w:tcPr>
            <w:tcW w:w="4230" w:type="dxa"/>
            <w:vAlign w:val="center"/>
          </w:tcPr>
          <w:p w:rsidR="00366609" w:rsidRPr="007361A3" w:rsidRDefault="00366609" w:rsidP="000205CC">
            <w:pPr>
              <w:keepNext/>
              <w:keepLines/>
              <w:spacing w:before="120" w:after="120"/>
              <w:jc w:val="center"/>
              <w:rPr>
                <w:rFonts w:ascii="HelveticaNeueLT Std" w:hAnsi="HelveticaNeueLT Std"/>
                <w:b/>
                <w:sz w:val="24"/>
                <w:szCs w:val="24"/>
                <w:highlight w:val="yellow"/>
              </w:rPr>
            </w:pPr>
            <w:r w:rsidRPr="007361A3">
              <w:rPr>
                <w:rFonts w:ascii="HelveticaNeueLT Std" w:hAnsi="HelveticaNeueLT Std"/>
                <w:b/>
                <w:sz w:val="24"/>
                <w:szCs w:val="24"/>
              </w:rPr>
              <w:t>$354,296.60</w:t>
            </w:r>
          </w:p>
        </w:tc>
      </w:tr>
    </w:tbl>
    <w:p w:rsidR="003C3E48" w:rsidRPr="00670B77" w:rsidRDefault="003C3E48" w:rsidP="003A3575">
      <w:pPr>
        <w:spacing w:before="240"/>
        <w:rPr>
          <w:rFonts w:ascii="HelveticaNeueLT Std" w:hAnsi="HelveticaNeueLT Std"/>
          <w:sz w:val="24"/>
          <w:szCs w:val="24"/>
        </w:rPr>
      </w:pPr>
      <w:r>
        <w:rPr>
          <w:rFonts w:ascii="HelveticaNeueLT Std" w:hAnsi="HelveticaNeueLT Std"/>
          <w:sz w:val="24"/>
          <w:szCs w:val="24"/>
        </w:rPr>
        <w:t xml:space="preserve">It </w:t>
      </w:r>
      <w:r w:rsidRPr="007A0FD6">
        <w:rPr>
          <w:rFonts w:ascii="HelveticaNeueLT Std" w:hAnsi="HelveticaNeueLT Std"/>
          <w:sz w:val="24"/>
          <w:szCs w:val="24"/>
        </w:rPr>
        <w:t>is</w:t>
      </w:r>
      <w:r>
        <w:rPr>
          <w:rFonts w:ascii="HelveticaNeueLT Std" w:hAnsi="HelveticaNeueLT Std"/>
          <w:sz w:val="24"/>
          <w:szCs w:val="24"/>
        </w:rPr>
        <w:t xml:space="preserve"> recommended </w:t>
      </w:r>
      <w:r w:rsidR="00D46D43">
        <w:rPr>
          <w:rFonts w:ascii="HelveticaNeueLT Std" w:hAnsi="HelveticaNeueLT Std"/>
          <w:sz w:val="24"/>
          <w:szCs w:val="24"/>
        </w:rPr>
        <w:t>to award RFT-TS-</w:t>
      </w:r>
      <w:r w:rsidR="00646E33">
        <w:rPr>
          <w:rFonts w:ascii="HelveticaNeueLT Std" w:hAnsi="HelveticaNeueLT Std"/>
          <w:sz w:val="24"/>
          <w:szCs w:val="24"/>
        </w:rPr>
        <w:t>09</w:t>
      </w:r>
      <w:r w:rsidR="00D46D43">
        <w:rPr>
          <w:rFonts w:ascii="HelveticaNeueLT Std" w:hAnsi="HelveticaNeueLT Std"/>
          <w:sz w:val="24"/>
          <w:szCs w:val="24"/>
        </w:rPr>
        <w:t>-1</w:t>
      </w:r>
      <w:r w:rsidR="008361DE">
        <w:rPr>
          <w:rFonts w:ascii="HelveticaNeueLT Std" w:hAnsi="HelveticaNeueLT Std"/>
          <w:sz w:val="24"/>
          <w:szCs w:val="24"/>
        </w:rPr>
        <w:t>5</w:t>
      </w:r>
      <w:r w:rsidR="00D46D43">
        <w:rPr>
          <w:rFonts w:ascii="HelveticaNeueLT Std" w:hAnsi="HelveticaNeueLT Std"/>
          <w:sz w:val="24"/>
          <w:szCs w:val="24"/>
        </w:rPr>
        <w:t xml:space="preserve"> to </w:t>
      </w:r>
      <w:r w:rsidR="00646E33">
        <w:rPr>
          <w:rFonts w:ascii="HelveticaNeueLT Std" w:hAnsi="HelveticaNeueLT Std"/>
          <w:sz w:val="24"/>
          <w:szCs w:val="24"/>
        </w:rPr>
        <w:t xml:space="preserve">Harold Sutherland Construction Ltd. </w:t>
      </w:r>
      <w:r>
        <w:rPr>
          <w:rFonts w:ascii="HelveticaNeueLT Std" w:hAnsi="HelveticaNeueLT Std"/>
          <w:sz w:val="24"/>
          <w:szCs w:val="24"/>
        </w:rPr>
        <w:t xml:space="preserve">in the amount of </w:t>
      </w:r>
      <w:r w:rsidRPr="00670B77">
        <w:rPr>
          <w:rFonts w:ascii="HelveticaNeueLT Std" w:hAnsi="HelveticaNeueLT Std"/>
          <w:sz w:val="24"/>
          <w:szCs w:val="24"/>
        </w:rPr>
        <w:t>$</w:t>
      </w:r>
      <w:r w:rsidR="007361A3">
        <w:rPr>
          <w:rFonts w:ascii="HelveticaNeueLT Std" w:hAnsi="HelveticaNeueLT Std"/>
          <w:sz w:val="24"/>
          <w:szCs w:val="24"/>
        </w:rPr>
        <w:t>354,296.60 excluding</w:t>
      </w:r>
      <w:r w:rsidR="00D46D43" w:rsidRPr="00670B77">
        <w:rPr>
          <w:rFonts w:ascii="HelveticaNeueLT Std" w:hAnsi="HelveticaNeueLT Std"/>
          <w:sz w:val="24"/>
          <w:szCs w:val="24"/>
        </w:rPr>
        <w:t xml:space="preserve"> HST</w:t>
      </w:r>
      <w:r w:rsidRPr="00670B77">
        <w:rPr>
          <w:rFonts w:ascii="HelveticaNeueLT Std" w:hAnsi="HelveticaNeueLT Std"/>
          <w:sz w:val="24"/>
          <w:szCs w:val="24"/>
        </w:rPr>
        <w:t>.</w:t>
      </w:r>
    </w:p>
    <w:p w:rsidR="001B162D" w:rsidRPr="00670B77" w:rsidRDefault="001B162D" w:rsidP="00670B77">
      <w:pPr>
        <w:pStyle w:val="Heading2"/>
      </w:pPr>
      <w:r w:rsidRPr="00670B77">
        <w:t>Financial / Staffing / Legal / Information Technology Considerations</w:t>
      </w:r>
    </w:p>
    <w:p w:rsidR="00366609" w:rsidRPr="00794BDC" w:rsidRDefault="00366609" w:rsidP="00366609">
      <w:pPr>
        <w:spacing w:after="0"/>
        <w:rPr>
          <w:rFonts w:ascii="HelveticaNeueLT Std" w:hAnsi="HelveticaNeueLT Std"/>
          <w:sz w:val="24"/>
          <w:szCs w:val="24"/>
        </w:rPr>
      </w:pPr>
      <w:r w:rsidRPr="00BF6B5F">
        <w:rPr>
          <w:rFonts w:ascii="HelveticaNeueLT Std" w:hAnsi="HelveticaNeueLT Std"/>
          <w:sz w:val="24"/>
          <w:szCs w:val="24"/>
        </w:rPr>
        <w:t xml:space="preserve">The chart below identifies the total tender approved costs. </w:t>
      </w:r>
      <w:r w:rsidR="00D705CD">
        <w:rPr>
          <w:rFonts w:ascii="HelveticaNeueLT Std" w:hAnsi="HelveticaNeueLT Std"/>
          <w:sz w:val="24"/>
          <w:szCs w:val="24"/>
        </w:rPr>
        <w:t xml:space="preserve"> </w:t>
      </w:r>
      <w:r>
        <w:rPr>
          <w:rFonts w:ascii="HelveticaNeueLT Std" w:hAnsi="HelveticaNeueLT Std"/>
          <w:sz w:val="24"/>
          <w:szCs w:val="24"/>
        </w:rPr>
        <w:t>Funding sources include the</w:t>
      </w:r>
      <w:r w:rsidR="006146E7">
        <w:rPr>
          <w:rFonts w:ascii="HelveticaNeueLT Std" w:hAnsi="HelveticaNeueLT Std"/>
          <w:sz w:val="24"/>
          <w:szCs w:val="24"/>
        </w:rPr>
        <w:t xml:space="preserve"> development charges category 2 and the gas tax.  </w:t>
      </w:r>
      <w:r w:rsidRPr="00670B77">
        <w:rPr>
          <w:rFonts w:ascii="HelveticaNeueLT Std" w:hAnsi="HelveticaNeueLT Std"/>
          <w:sz w:val="24"/>
          <w:szCs w:val="24"/>
        </w:rPr>
        <w:t xml:space="preserve">It is recommended that </w:t>
      </w:r>
      <w:r w:rsidR="006146E7">
        <w:rPr>
          <w:rFonts w:ascii="HelveticaNeueLT Std" w:hAnsi="HelveticaNeueLT Std"/>
          <w:sz w:val="24"/>
          <w:szCs w:val="24"/>
        </w:rPr>
        <w:t>the shortfall be obtained from the surplus in the construction, resurfacing and minor capital budget.</w:t>
      </w:r>
    </w:p>
    <w:tbl>
      <w:tblPr>
        <w:tblStyle w:val="TableGrid"/>
        <w:tblpPr w:leftFromText="180" w:rightFromText="180" w:vertAnchor="text" w:horzAnchor="margin" w:tblpY="912"/>
        <w:tblW w:w="9990" w:type="dxa"/>
        <w:tblLook w:val="04A0" w:firstRow="1" w:lastRow="0" w:firstColumn="1" w:lastColumn="0" w:noHBand="0" w:noVBand="1"/>
        <w:tblCaption w:val="Tender Results"/>
        <w:tblDescription w:val="Summary of Project Financials"/>
      </w:tblPr>
      <w:tblGrid>
        <w:gridCol w:w="5238"/>
        <w:gridCol w:w="2232"/>
        <w:gridCol w:w="2520"/>
      </w:tblGrid>
      <w:tr w:rsidR="00C2645C" w:rsidTr="00C2645C">
        <w:trPr>
          <w:trHeight w:val="362"/>
          <w:tblHeader/>
        </w:trPr>
        <w:tc>
          <w:tcPr>
            <w:tcW w:w="9990" w:type="dxa"/>
            <w:gridSpan w:val="3"/>
            <w:shd w:val="clear" w:color="auto" w:fill="D9D9D9" w:themeFill="background1" w:themeFillShade="D9"/>
            <w:vAlign w:val="center"/>
          </w:tcPr>
          <w:p w:rsidR="00C2645C" w:rsidRPr="00321EF1" w:rsidRDefault="00C2645C" w:rsidP="00C2645C">
            <w:pPr>
              <w:keepNext/>
              <w:keepLines/>
              <w:jc w:val="center"/>
              <w:rPr>
                <w:rFonts w:ascii="HelveticaNeueLT Std" w:hAnsi="HelveticaNeueLT Std"/>
                <w:b/>
                <w:sz w:val="24"/>
                <w:szCs w:val="24"/>
              </w:rPr>
            </w:pPr>
            <w:r w:rsidRPr="00321EF1">
              <w:rPr>
                <w:rFonts w:ascii="HelveticaNeueLT Std" w:hAnsi="HelveticaNeueLT Std"/>
                <w:b/>
                <w:sz w:val="24"/>
                <w:szCs w:val="24"/>
              </w:rPr>
              <w:t>2015 Project Budget</w:t>
            </w:r>
          </w:p>
        </w:tc>
      </w:tr>
      <w:tr w:rsidR="00C2645C" w:rsidTr="00C2645C">
        <w:trPr>
          <w:trHeight w:val="362"/>
          <w:tblHeader/>
        </w:trPr>
        <w:tc>
          <w:tcPr>
            <w:tcW w:w="5238" w:type="dxa"/>
            <w:shd w:val="clear" w:color="auto" w:fill="D9D9D9" w:themeFill="background1" w:themeFillShade="D9"/>
            <w:vAlign w:val="center"/>
          </w:tcPr>
          <w:p w:rsidR="00C2645C" w:rsidRPr="00670B77" w:rsidRDefault="00C2645C" w:rsidP="00C2645C">
            <w:pPr>
              <w:keepNext/>
              <w:keepLines/>
              <w:jc w:val="center"/>
              <w:rPr>
                <w:rFonts w:ascii="HelveticaNeueLT Std" w:hAnsi="HelveticaNeueLT Std"/>
                <w:b/>
                <w:sz w:val="24"/>
                <w:szCs w:val="24"/>
              </w:rPr>
            </w:pPr>
            <w:r>
              <w:rPr>
                <w:rFonts w:ascii="HelveticaNeueLT Std" w:hAnsi="HelveticaNeueLT Std"/>
                <w:b/>
                <w:sz w:val="24"/>
                <w:szCs w:val="24"/>
              </w:rPr>
              <w:t>Item</w:t>
            </w:r>
          </w:p>
        </w:tc>
        <w:tc>
          <w:tcPr>
            <w:tcW w:w="2232" w:type="dxa"/>
            <w:shd w:val="clear" w:color="auto" w:fill="D9D9D9" w:themeFill="background1" w:themeFillShade="D9"/>
            <w:vAlign w:val="center"/>
          </w:tcPr>
          <w:p w:rsidR="00C2645C" w:rsidRPr="00670B77" w:rsidRDefault="00C2645C" w:rsidP="00C2645C">
            <w:pPr>
              <w:keepNext/>
              <w:keepLines/>
              <w:jc w:val="center"/>
              <w:rPr>
                <w:rFonts w:ascii="HelveticaNeueLT Std" w:hAnsi="HelveticaNeueLT Std"/>
                <w:b/>
                <w:sz w:val="24"/>
                <w:szCs w:val="24"/>
              </w:rPr>
            </w:pPr>
            <w:r>
              <w:rPr>
                <w:rFonts w:ascii="HelveticaNeueLT Std" w:hAnsi="HelveticaNeueLT Std"/>
                <w:b/>
                <w:sz w:val="24"/>
                <w:szCs w:val="24"/>
              </w:rPr>
              <w:t>Excluding HST</w:t>
            </w:r>
          </w:p>
        </w:tc>
        <w:tc>
          <w:tcPr>
            <w:tcW w:w="2520" w:type="dxa"/>
            <w:shd w:val="clear" w:color="auto" w:fill="D9D9D9" w:themeFill="background1" w:themeFillShade="D9"/>
            <w:vAlign w:val="center"/>
          </w:tcPr>
          <w:p w:rsidR="00C2645C" w:rsidRPr="00670B77" w:rsidRDefault="00C2645C" w:rsidP="00C2645C">
            <w:pPr>
              <w:keepNext/>
              <w:keepLines/>
              <w:jc w:val="center"/>
              <w:rPr>
                <w:rFonts w:ascii="HelveticaNeueLT Std" w:hAnsi="HelveticaNeueLT Std"/>
                <w:b/>
                <w:sz w:val="24"/>
                <w:szCs w:val="24"/>
              </w:rPr>
            </w:pPr>
            <w:r>
              <w:rPr>
                <w:rFonts w:ascii="HelveticaNeueLT Std" w:hAnsi="HelveticaNeueLT Std"/>
                <w:b/>
                <w:sz w:val="24"/>
                <w:szCs w:val="24"/>
              </w:rPr>
              <w:t>Net HST</w:t>
            </w:r>
          </w:p>
        </w:tc>
      </w:tr>
      <w:tr w:rsidR="00C2645C" w:rsidTr="00C2645C">
        <w:trPr>
          <w:trHeight w:val="362"/>
        </w:trPr>
        <w:tc>
          <w:tcPr>
            <w:tcW w:w="5238" w:type="dxa"/>
            <w:shd w:val="clear" w:color="auto" w:fill="auto"/>
            <w:vAlign w:val="center"/>
          </w:tcPr>
          <w:p w:rsidR="00C2645C" w:rsidRPr="002B538F" w:rsidRDefault="00C2645C" w:rsidP="00C2645C">
            <w:pPr>
              <w:keepNext/>
              <w:keepLines/>
              <w:rPr>
                <w:rFonts w:ascii="HelveticaNeueLT Std" w:hAnsi="HelveticaNeueLT Std"/>
                <w:b/>
                <w:sz w:val="24"/>
                <w:szCs w:val="24"/>
              </w:rPr>
            </w:pPr>
            <w:r>
              <w:rPr>
                <w:rFonts w:ascii="HelveticaNeueLT Std" w:hAnsi="HelveticaNeueLT Std"/>
                <w:b/>
                <w:sz w:val="24"/>
                <w:szCs w:val="24"/>
              </w:rPr>
              <w:t xml:space="preserve">Approved </w:t>
            </w:r>
            <w:r w:rsidRPr="002B538F">
              <w:rPr>
                <w:rFonts w:ascii="HelveticaNeueLT Std" w:hAnsi="HelveticaNeueLT Std"/>
                <w:b/>
                <w:sz w:val="24"/>
                <w:szCs w:val="24"/>
              </w:rPr>
              <w:t>Project Budget</w:t>
            </w:r>
          </w:p>
        </w:tc>
        <w:tc>
          <w:tcPr>
            <w:tcW w:w="2232" w:type="dxa"/>
            <w:shd w:val="clear" w:color="auto" w:fill="auto"/>
            <w:vAlign w:val="center"/>
          </w:tcPr>
          <w:p w:rsidR="00C2645C" w:rsidRPr="00926DB9" w:rsidRDefault="00C2645C" w:rsidP="00C2645C">
            <w:pPr>
              <w:keepNext/>
              <w:keepLines/>
              <w:rPr>
                <w:rFonts w:ascii="HelveticaNeueLT Std" w:hAnsi="HelveticaNeueLT Std"/>
                <w:sz w:val="24"/>
                <w:szCs w:val="24"/>
              </w:rPr>
            </w:pPr>
          </w:p>
        </w:tc>
        <w:tc>
          <w:tcPr>
            <w:tcW w:w="2520" w:type="dxa"/>
            <w:shd w:val="clear" w:color="auto" w:fill="auto"/>
            <w:vAlign w:val="center"/>
          </w:tcPr>
          <w:p w:rsidR="00C2645C" w:rsidRPr="002B538F" w:rsidRDefault="00C2645C" w:rsidP="00C2645C">
            <w:pPr>
              <w:keepNext/>
              <w:keepLines/>
              <w:jc w:val="right"/>
              <w:rPr>
                <w:rFonts w:ascii="HelveticaNeueLT Std" w:hAnsi="HelveticaNeueLT Std"/>
                <w:b/>
                <w:sz w:val="24"/>
                <w:szCs w:val="24"/>
              </w:rPr>
            </w:pPr>
            <w:r w:rsidRPr="002B538F">
              <w:rPr>
                <w:rFonts w:ascii="HelveticaNeueLT Std" w:hAnsi="HelveticaNeueLT Std"/>
                <w:b/>
                <w:sz w:val="24"/>
                <w:szCs w:val="24"/>
              </w:rPr>
              <w:t>$352,963.00</w:t>
            </w:r>
          </w:p>
        </w:tc>
      </w:tr>
      <w:tr w:rsidR="00C2645C" w:rsidTr="00C2645C">
        <w:trPr>
          <w:trHeight w:val="362"/>
        </w:trPr>
        <w:tc>
          <w:tcPr>
            <w:tcW w:w="5238" w:type="dxa"/>
            <w:vAlign w:val="center"/>
          </w:tcPr>
          <w:p w:rsidR="00C2645C" w:rsidRPr="00926DB9" w:rsidRDefault="00C2645C" w:rsidP="00C2645C">
            <w:pPr>
              <w:keepNext/>
              <w:keepLines/>
              <w:rPr>
                <w:rFonts w:ascii="HelveticaNeueLT Std" w:hAnsi="HelveticaNeueLT Std"/>
                <w:sz w:val="24"/>
                <w:szCs w:val="24"/>
              </w:rPr>
            </w:pPr>
            <w:r>
              <w:rPr>
                <w:rFonts w:ascii="HelveticaNeueLT Std" w:hAnsi="HelveticaNeueLT Std"/>
                <w:sz w:val="24"/>
                <w:szCs w:val="24"/>
              </w:rPr>
              <w:t>Funding - development charges category 2</w:t>
            </w:r>
          </w:p>
        </w:tc>
        <w:tc>
          <w:tcPr>
            <w:tcW w:w="2232" w:type="dxa"/>
            <w:vAlign w:val="center"/>
          </w:tcPr>
          <w:p w:rsidR="00C2645C" w:rsidRPr="00926DB9" w:rsidRDefault="00C2645C" w:rsidP="00C2645C">
            <w:pPr>
              <w:keepNext/>
              <w:keepLines/>
              <w:rPr>
                <w:rFonts w:ascii="HelveticaNeueLT Std" w:hAnsi="HelveticaNeueLT Std"/>
                <w:sz w:val="24"/>
                <w:szCs w:val="24"/>
              </w:rPr>
            </w:pPr>
          </w:p>
        </w:tc>
        <w:tc>
          <w:tcPr>
            <w:tcW w:w="2520" w:type="dxa"/>
            <w:vAlign w:val="center"/>
          </w:tcPr>
          <w:p w:rsidR="00C2645C" w:rsidRPr="00926DB9" w:rsidRDefault="00C2645C" w:rsidP="00C2645C">
            <w:pPr>
              <w:keepNext/>
              <w:keepLines/>
              <w:jc w:val="right"/>
              <w:rPr>
                <w:rFonts w:ascii="HelveticaNeueLT Std" w:hAnsi="HelveticaNeueLT Std"/>
                <w:sz w:val="24"/>
                <w:szCs w:val="24"/>
              </w:rPr>
            </w:pPr>
            <w:r>
              <w:rPr>
                <w:rFonts w:ascii="HelveticaNeueLT Std" w:hAnsi="HelveticaNeueLT Std"/>
                <w:sz w:val="24"/>
                <w:szCs w:val="24"/>
              </w:rPr>
              <w:t>($175,309.00)</w:t>
            </w:r>
          </w:p>
        </w:tc>
      </w:tr>
      <w:tr w:rsidR="00C2645C" w:rsidTr="00C2645C">
        <w:trPr>
          <w:trHeight w:val="362"/>
        </w:trPr>
        <w:tc>
          <w:tcPr>
            <w:tcW w:w="5238" w:type="dxa"/>
            <w:vAlign w:val="center"/>
          </w:tcPr>
          <w:p w:rsidR="00C2645C" w:rsidRPr="00670B77" w:rsidRDefault="00C2645C" w:rsidP="00C2645C">
            <w:pPr>
              <w:keepNext/>
              <w:keepLines/>
              <w:rPr>
                <w:rFonts w:ascii="HelveticaNeueLT Std" w:hAnsi="HelveticaNeueLT Std"/>
                <w:sz w:val="24"/>
                <w:szCs w:val="24"/>
              </w:rPr>
            </w:pPr>
            <w:r>
              <w:rPr>
                <w:rFonts w:ascii="HelveticaNeueLT Std" w:hAnsi="HelveticaNeueLT Std"/>
                <w:sz w:val="24"/>
                <w:szCs w:val="24"/>
              </w:rPr>
              <w:t>Funding - gas tax</w:t>
            </w:r>
          </w:p>
        </w:tc>
        <w:tc>
          <w:tcPr>
            <w:tcW w:w="2232" w:type="dxa"/>
            <w:vAlign w:val="center"/>
          </w:tcPr>
          <w:p w:rsidR="00C2645C" w:rsidRPr="00670B77" w:rsidRDefault="00C2645C" w:rsidP="00C2645C">
            <w:pPr>
              <w:keepNext/>
              <w:keepLines/>
              <w:rPr>
                <w:rFonts w:ascii="HelveticaNeueLT Std" w:hAnsi="HelveticaNeueLT Std"/>
                <w:sz w:val="24"/>
                <w:szCs w:val="24"/>
              </w:rPr>
            </w:pPr>
          </w:p>
        </w:tc>
        <w:tc>
          <w:tcPr>
            <w:tcW w:w="2520" w:type="dxa"/>
            <w:vAlign w:val="center"/>
          </w:tcPr>
          <w:p w:rsidR="00C2645C" w:rsidRPr="00670B77" w:rsidRDefault="00C2645C" w:rsidP="00C2645C">
            <w:pPr>
              <w:keepNext/>
              <w:keepLines/>
              <w:jc w:val="right"/>
              <w:rPr>
                <w:rFonts w:ascii="HelveticaNeueLT Std" w:hAnsi="HelveticaNeueLT Std"/>
                <w:sz w:val="24"/>
                <w:szCs w:val="24"/>
              </w:rPr>
            </w:pPr>
            <w:r>
              <w:rPr>
                <w:rFonts w:ascii="HelveticaNeueLT Std" w:hAnsi="HelveticaNeueLT Std"/>
                <w:sz w:val="24"/>
                <w:szCs w:val="24"/>
              </w:rPr>
              <w:t>($120,000.00)</w:t>
            </w:r>
          </w:p>
        </w:tc>
      </w:tr>
      <w:tr w:rsidR="00C2645C" w:rsidTr="00C2645C">
        <w:trPr>
          <w:trHeight w:val="362"/>
        </w:trPr>
        <w:tc>
          <w:tcPr>
            <w:tcW w:w="5238" w:type="dxa"/>
            <w:vAlign w:val="center"/>
          </w:tcPr>
          <w:p w:rsidR="00C2645C" w:rsidRPr="00926DB9" w:rsidRDefault="00C2645C" w:rsidP="00C2645C">
            <w:pPr>
              <w:keepNext/>
              <w:keepLines/>
              <w:rPr>
                <w:rFonts w:ascii="HelveticaNeueLT Std" w:hAnsi="HelveticaNeueLT Std"/>
                <w:sz w:val="24"/>
                <w:szCs w:val="24"/>
              </w:rPr>
            </w:pPr>
            <w:r w:rsidRPr="00926DB9">
              <w:rPr>
                <w:rFonts w:ascii="HelveticaNeueLT Std" w:hAnsi="HelveticaNeueLT Std"/>
                <w:sz w:val="24"/>
                <w:szCs w:val="24"/>
              </w:rPr>
              <w:t>Awarded Tender Amount</w:t>
            </w:r>
          </w:p>
        </w:tc>
        <w:tc>
          <w:tcPr>
            <w:tcW w:w="2232" w:type="dxa"/>
            <w:vAlign w:val="center"/>
          </w:tcPr>
          <w:p w:rsidR="00C2645C" w:rsidRPr="00926DB9" w:rsidRDefault="00C2645C" w:rsidP="00C2645C">
            <w:pPr>
              <w:keepNext/>
              <w:keepLines/>
              <w:rPr>
                <w:rFonts w:ascii="HelveticaNeueLT Std" w:hAnsi="HelveticaNeueLT Std"/>
                <w:sz w:val="24"/>
                <w:szCs w:val="24"/>
              </w:rPr>
            </w:pPr>
            <w:r w:rsidRPr="00926DB9">
              <w:rPr>
                <w:rFonts w:ascii="HelveticaNeueLT Std" w:hAnsi="HelveticaNeueLT Std"/>
                <w:sz w:val="24"/>
                <w:szCs w:val="24"/>
              </w:rPr>
              <w:t>$</w:t>
            </w:r>
            <w:r>
              <w:rPr>
                <w:rFonts w:ascii="HelveticaNeueLT Std" w:hAnsi="HelveticaNeueLT Std"/>
                <w:sz w:val="24"/>
                <w:szCs w:val="24"/>
              </w:rPr>
              <w:t>354,296.60</w:t>
            </w:r>
          </w:p>
        </w:tc>
        <w:tc>
          <w:tcPr>
            <w:tcW w:w="2520" w:type="dxa"/>
            <w:vAlign w:val="center"/>
          </w:tcPr>
          <w:p w:rsidR="00C2645C" w:rsidRPr="00926DB9" w:rsidRDefault="00C2645C" w:rsidP="00C2645C">
            <w:pPr>
              <w:keepNext/>
              <w:keepLines/>
              <w:jc w:val="right"/>
              <w:rPr>
                <w:rFonts w:ascii="HelveticaNeueLT Std" w:hAnsi="HelveticaNeueLT Std"/>
                <w:sz w:val="24"/>
                <w:szCs w:val="24"/>
              </w:rPr>
            </w:pPr>
            <w:r w:rsidRPr="00926DB9">
              <w:rPr>
                <w:rFonts w:ascii="HelveticaNeueLT Std" w:hAnsi="HelveticaNeueLT Std"/>
                <w:sz w:val="24"/>
                <w:szCs w:val="24"/>
              </w:rPr>
              <w:t>$</w:t>
            </w:r>
            <w:r>
              <w:rPr>
                <w:rFonts w:ascii="HelveticaNeueLT Std" w:hAnsi="HelveticaNeueLT Std"/>
                <w:sz w:val="24"/>
                <w:szCs w:val="24"/>
              </w:rPr>
              <w:t>360,532.22</w:t>
            </w:r>
          </w:p>
        </w:tc>
      </w:tr>
      <w:tr w:rsidR="00C2645C" w:rsidTr="00C2645C">
        <w:trPr>
          <w:trHeight w:val="362"/>
        </w:trPr>
        <w:tc>
          <w:tcPr>
            <w:tcW w:w="5238" w:type="dxa"/>
            <w:vAlign w:val="center"/>
          </w:tcPr>
          <w:p w:rsidR="00C2645C" w:rsidRPr="00926DB9" w:rsidRDefault="00C2645C" w:rsidP="00C2645C">
            <w:pPr>
              <w:keepNext/>
              <w:keepLines/>
              <w:rPr>
                <w:rFonts w:ascii="HelveticaNeueLT Std" w:hAnsi="HelveticaNeueLT Std"/>
                <w:sz w:val="24"/>
                <w:szCs w:val="24"/>
              </w:rPr>
            </w:pPr>
            <w:r>
              <w:rPr>
                <w:rFonts w:ascii="HelveticaNeueLT Std" w:hAnsi="HelveticaNeueLT Std"/>
                <w:sz w:val="24"/>
                <w:szCs w:val="24"/>
              </w:rPr>
              <w:t>Tree cutting</w:t>
            </w:r>
          </w:p>
        </w:tc>
        <w:tc>
          <w:tcPr>
            <w:tcW w:w="2232" w:type="dxa"/>
            <w:vAlign w:val="center"/>
          </w:tcPr>
          <w:p w:rsidR="00C2645C" w:rsidRPr="007A615D" w:rsidRDefault="00C2645C" w:rsidP="00C2645C">
            <w:pPr>
              <w:keepNext/>
              <w:keepLines/>
              <w:rPr>
                <w:rFonts w:ascii="HelveticaNeueLT Std" w:hAnsi="HelveticaNeueLT Std"/>
                <w:sz w:val="24"/>
                <w:szCs w:val="24"/>
                <w:highlight w:val="yellow"/>
              </w:rPr>
            </w:pPr>
          </w:p>
        </w:tc>
        <w:tc>
          <w:tcPr>
            <w:tcW w:w="2520" w:type="dxa"/>
            <w:vAlign w:val="center"/>
          </w:tcPr>
          <w:p w:rsidR="00C2645C" w:rsidRPr="00C2645C" w:rsidRDefault="00C2645C" w:rsidP="00C2645C">
            <w:pPr>
              <w:keepNext/>
              <w:keepLines/>
              <w:jc w:val="right"/>
              <w:rPr>
                <w:rFonts w:ascii="HelveticaNeueLT Std" w:hAnsi="HelveticaNeueLT Std"/>
                <w:sz w:val="24"/>
                <w:szCs w:val="24"/>
              </w:rPr>
            </w:pPr>
            <w:r w:rsidRPr="00C2645C">
              <w:rPr>
                <w:rFonts w:ascii="HelveticaNeueLT Std" w:hAnsi="HelveticaNeueLT Std"/>
                <w:sz w:val="24"/>
                <w:szCs w:val="24"/>
              </w:rPr>
              <w:t>$31,000</w:t>
            </w:r>
            <w:r>
              <w:rPr>
                <w:rFonts w:ascii="HelveticaNeueLT Std" w:hAnsi="HelveticaNeueLT Std"/>
                <w:sz w:val="24"/>
                <w:szCs w:val="24"/>
              </w:rPr>
              <w:t>.00</w:t>
            </w:r>
          </w:p>
        </w:tc>
      </w:tr>
      <w:tr w:rsidR="00C2645C" w:rsidTr="00C2645C">
        <w:trPr>
          <w:trHeight w:val="362"/>
        </w:trPr>
        <w:tc>
          <w:tcPr>
            <w:tcW w:w="5238" w:type="dxa"/>
            <w:vAlign w:val="center"/>
          </w:tcPr>
          <w:p w:rsidR="00C2645C" w:rsidRPr="00670B77" w:rsidRDefault="00C2645C" w:rsidP="00C2645C">
            <w:pPr>
              <w:keepNext/>
              <w:keepLines/>
              <w:rPr>
                <w:rFonts w:ascii="HelveticaNeueLT Std" w:hAnsi="HelveticaNeueLT Std"/>
                <w:sz w:val="24"/>
                <w:szCs w:val="24"/>
              </w:rPr>
            </w:pPr>
            <w:r>
              <w:rPr>
                <w:rFonts w:ascii="HelveticaNeueLT Std" w:hAnsi="HelveticaNeueLT Std"/>
                <w:sz w:val="24"/>
                <w:szCs w:val="24"/>
              </w:rPr>
              <w:t>Contingency (10%)</w:t>
            </w:r>
          </w:p>
        </w:tc>
        <w:tc>
          <w:tcPr>
            <w:tcW w:w="2232" w:type="dxa"/>
            <w:vAlign w:val="center"/>
          </w:tcPr>
          <w:p w:rsidR="00C2645C" w:rsidRPr="007A615D" w:rsidRDefault="00C2645C" w:rsidP="00C2645C">
            <w:pPr>
              <w:keepNext/>
              <w:keepLines/>
              <w:rPr>
                <w:rFonts w:ascii="HelveticaNeueLT Std" w:hAnsi="HelveticaNeueLT Std"/>
                <w:sz w:val="24"/>
                <w:szCs w:val="24"/>
                <w:highlight w:val="yellow"/>
              </w:rPr>
            </w:pPr>
          </w:p>
        </w:tc>
        <w:tc>
          <w:tcPr>
            <w:tcW w:w="2520" w:type="dxa"/>
            <w:vAlign w:val="center"/>
          </w:tcPr>
          <w:p w:rsidR="00C2645C" w:rsidRPr="00C2645C" w:rsidRDefault="00C2645C" w:rsidP="00C2645C">
            <w:pPr>
              <w:keepNext/>
              <w:keepLines/>
              <w:jc w:val="right"/>
              <w:rPr>
                <w:rFonts w:ascii="HelveticaNeueLT Std" w:hAnsi="HelveticaNeueLT Std"/>
                <w:sz w:val="24"/>
                <w:szCs w:val="24"/>
              </w:rPr>
            </w:pPr>
            <w:r w:rsidRPr="00C2645C">
              <w:rPr>
                <w:rFonts w:ascii="HelveticaNeueLT Std" w:hAnsi="HelveticaNeueLT Std"/>
                <w:sz w:val="24"/>
                <w:szCs w:val="24"/>
              </w:rPr>
              <w:t>$36,053.22</w:t>
            </w:r>
          </w:p>
        </w:tc>
      </w:tr>
      <w:tr w:rsidR="00C2645C" w:rsidTr="00C2645C">
        <w:trPr>
          <w:trHeight w:val="362"/>
        </w:trPr>
        <w:tc>
          <w:tcPr>
            <w:tcW w:w="5238" w:type="dxa"/>
            <w:vAlign w:val="center"/>
          </w:tcPr>
          <w:p w:rsidR="00C2645C" w:rsidRPr="00670B77" w:rsidRDefault="00C2645C" w:rsidP="00C2645C">
            <w:pPr>
              <w:keepNext/>
              <w:keepLines/>
              <w:rPr>
                <w:rFonts w:ascii="HelveticaNeueLT Std" w:hAnsi="HelveticaNeueLT Std"/>
                <w:sz w:val="24"/>
                <w:szCs w:val="24"/>
              </w:rPr>
            </w:pPr>
            <w:r>
              <w:rPr>
                <w:rFonts w:ascii="HelveticaNeueLT Std" w:hAnsi="HelveticaNeueLT Std"/>
                <w:sz w:val="24"/>
                <w:szCs w:val="24"/>
              </w:rPr>
              <w:t>Engineering and quality assurance (5%)</w:t>
            </w:r>
          </w:p>
        </w:tc>
        <w:tc>
          <w:tcPr>
            <w:tcW w:w="2232" w:type="dxa"/>
            <w:shd w:val="clear" w:color="auto" w:fill="auto"/>
            <w:vAlign w:val="center"/>
          </w:tcPr>
          <w:p w:rsidR="00C2645C" w:rsidRPr="007A615D" w:rsidRDefault="00C2645C" w:rsidP="00C2645C">
            <w:pPr>
              <w:keepNext/>
              <w:keepLines/>
              <w:rPr>
                <w:rFonts w:ascii="HelveticaNeueLT Std" w:hAnsi="HelveticaNeueLT Std"/>
                <w:sz w:val="24"/>
                <w:szCs w:val="24"/>
                <w:highlight w:val="yellow"/>
              </w:rPr>
            </w:pPr>
          </w:p>
        </w:tc>
        <w:tc>
          <w:tcPr>
            <w:tcW w:w="2520" w:type="dxa"/>
            <w:shd w:val="clear" w:color="auto" w:fill="auto"/>
            <w:vAlign w:val="center"/>
          </w:tcPr>
          <w:p w:rsidR="00C2645C" w:rsidRPr="00C2645C" w:rsidRDefault="00C2645C" w:rsidP="00C2645C">
            <w:pPr>
              <w:keepNext/>
              <w:keepLines/>
              <w:jc w:val="right"/>
              <w:rPr>
                <w:rFonts w:ascii="HelveticaNeueLT Std" w:hAnsi="HelveticaNeueLT Std"/>
                <w:sz w:val="24"/>
                <w:szCs w:val="24"/>
              </w:rPr>
            </w:pPr>
            <w:r>
              <w:rPr>
                <w:rFonts w:ascii="HelveticaNeueLT Std" w:hAnsi="HelveticaNeueLT Std"/>
                <w:sz w:val="24"/>
                <w:szCs w:val="24"/>
              </w:rPr>
              <w:t>$18,026.61</w:t>
            </w:r>
          </w:p>
        </w:tc>
      </w:tr>
      <w:tr w:rsidR="00C2645C" w:rsidTr="00C2645C">
        <w:trPr>
          <w:trHeight w:val="362"/>
        </w:trPr>
        <w:tc>
          <w:tcPr>
            <w:tcW w:w="5238" w:type="dxa"/>
            <w:vAlign w:val="center"/>
          </w:tcPr>
          <w:p w:rsidR="00C2645C" w:rsidRPr="002B538F" w:rsidRDefault="00C2645C" w:rsidP="00C2645C">
            <w:pPr>
              <w:keepNext/>
              <w:keepLines/>
              <w:rPr>
                <w:rFonts w:ascii="HelveticaNeueLT Std" w:hAnsi="HelveticaNeueLT Std"/>
                <w:b/>
                <w:sz w:val="24"/>
                <w:szCs w:val="24"/>
              </w:rPr>
            </w:pPr>
            <w:r w:rsidRPr="002B538F">
              <w:rPr>
                <w:rFonts w:ascii="HelveticaNeueLT Std" w:hAnsi="HelveticaNeueLT Std"/>
                <w:b/>
                <w:sz w:val="24"/>
                <w:szCs w:val="24"/>
              </w:rPr>
              <w:t>Total Tender Projected Costs</w:t>
            </w:r>
          </w:p>
        </w:tc>
        <w:tc>
          <w:tcPr>
            <w:tcW w:w="2232" w:type="dxa"/>
            <w:vAlign w:val="center"/>
          </w:tcPr>
          <w:p w:rsidR="00C2645C" w:rsidRPr="00670B77" w:rsidRDefault="00C2645C" w:rsidP="00C2645C">
            <w:pPr>
              <w:keepNext/>
              <w:keepLines/>
              <w:rPr>
                <w:rFonts w:ascii="HelveticaNeueLT Std" w:hAnsi="HelveticaNeueLT Std"/>
                <w:sz w:val="24"/>
                <w:szCs w:val="24"/>
              </w:rPr>
            </w:pPr>
          </w:p>
        </w:tc>
        <w:tc>
          <w:tcPr>
            <w:tcW w:w="2520" w:type="dxa"/>
            <w:vAlign w:val="center"/>
          </w:tcPr>
          <w:p w:rsidR="00C2645C" w:rsidRPr="00BF6B5F" w:rsidRDefault="00C2645C" w:rsidP="00C2645C">
            <w:pPr>
              <w:keepNext/>
              <w:keepLines/>
              <w:jc w:val="right"/>
              <w:rPr>
                <w:rFonts w:ascii="HelveticaNeueLT Std" w:hAnsi="HelveticaNeueLT Std"/>
                <w:b/>
                <w:sz w:val="24"/>
                <w:szCs w:val="24"/>
              </w:rPr>
            </w:pPr>
            <w:r>
              <w:rPr>
                <w:rFonts w:ascii="HelveticaNeueLT Std" w:hAnsi="HelveticaNeueLT Std"/>
                <w:b/>
                <w:sz w:val="24"/>
                <w:szCs w:val="24"/>
              </w:rPr>
              <w:t>$445,612.05</w:t>
            </w:r>
          </w:p>
        </w:tc>
      </w:tr>
      <w:tr w:rsidR="00C2645C" w:rsidTr="00C2645C">
        <w:trPr>
          <w:trHeight w:val="362"/>
        </w:trPr>
        <w:tc>
          <w:tcPr>
            <w:tcW w:w="5238" w:type="dxa"/>
            <w:vAlign w:val="center"/>
          </w:tcPr>
          <w:p w:rsidR="00C2645C" w:rsidRPr="00670B77" w:rsidRDefault="00C2645C" w:rsidP="00C2645C">
            <w:pPr>
              <w:keepNext/>
              <w:keepLines/>
              <w:rPr>
                <w:rFonts w:ascii="HelveticaNeueLT Std" w:hAnsi="HelveticaNeueLT Std"/>
                <w:sz w:val="24"/>
                <w:szCs w:val="24"/>
              </w:rPr>
            </w:pPr>
            <w:r>
              <w:rPr>
                <w:rFonts w:ascii="HelveticaNeueLT Std" w:hAnsi="HelveticaNeueLT Std"/>
                <w:sz w:val="24"/>
                <w:szCs w:val="24"/>
              </w:rPr>
              <w:t>Project Deficit</w:t>
            </w:r>
          </w:p>
        </w:tc>
        <w:tc>
          <w:tcPr>
            <w:tcW w:w="2232" w:type="dxa"/>
            <w:vAlign w:val="center"/>
          </w:tcPr>
          <w:p w:rsidR="00C2645C" w:rsidRPr="00670B77" w:rsidRDefault="00C2645C" w:rsidP="00C2645C">
            <w:pPr>
              <w:keepNext/>
              <w:keepLines/>
              <w:rPr>
                <w:rFonts w:ascii="HelveticaNeueLT Std" w:hAnsi="HelveticaNeueLT Std"/>
                <w:sz w:val="24"/>
                <w:szCs w:val="24"/>
              </w:rPr>
            </w:pPr>
          </w:p>
        </w:tc>
        <w:tc>
          <w:tcPr>
            <w:tcW w:w="2520" w:type="dxa"/>
            <w:vAlign w:val="center"/>
          </w:tcPr>
          <w:p w:rsidR="00C2645C" w:rsidRPr="00BF6B5F" w:rsidRDefault="00C2645C" w:rsidP="00C2645C">
            <w:pPr>
              <w:keepNext/>
              <w:keepLines/>
              <w:jc w:val="right"/>
              <w:rPr>
                <w:rFonts w:ascii="HelveticaNeueLT Std" w:hAnsi="HelveticaNeueLT Std"/>
                <w:b/>
                <w:sz w:val="24"/>
                <w:szCs w:val="24"/>
              </w:rPr>
            </w:pPr>
            <w:r>
              <w:rPr>
                <w:rFonts w:ascii="HelveticaNeueLT Std" w:hAnsi="HelveticaNeueLT Std"/>
                <w:b/>
                <w:sz w:val="24"/>
                <w:szCs w:val="24"/>
              </w:rPr>
              <w:t>($92,649.05)</w:t>
            </w:r>
          </w:p>
        </w:tc>
      </w:tr>
    </w:tbl>
    <w:p w:rsidR="00366609" w:rsidRPr="003A3575" w:rsidRDefault="007361A3" w:rsidP="003A3575">
      <w:pPr>
        <w:spacing w:after="0"/>
        <w:rPr>
          <w:rFonts w:ascii="HelveticaNeueLT Std" w:hAnsi="HelveticaNeueLT Std"/>
          <w:sz w:val="24"/>
          <w:szCs w:val="24"/>
        </w:rPr>
      </w:pPr>
      <w:r>
        <w:rPr>
          <w:rFonts w:ascii="HelveticaNeueLT Std" w:hAnsi="HelveticaNeueLT Std"/>
          <w:sz w:val="24"/>
          <w:szCs w:val="24"/>
        </w:rPr>
        <w:t xml:space="preserve">As </w:t>
      </w:r>
      <w:r w:rsidR="00366609" w:rsidRPr="003A3575">
        <w:rPr>
          <w:rFonts w:ascii="HelveticaNeueLT Std" w:hAnsi="HelveticaNeueLT Std"/>
          <w:sz w:val="24"/>
          <w:szCs w:val="24"/>
        </w:rPr>
        <w:t xml:space="preserve">projects </w:t>
      </w:r>
      <w:r>
        <w:rPr>
          <w:rFonts w:ascii="HelveticaNeueLT Std" w:hAnsi="HelveticaNeueLT Std"/>
          <w:sz w:val="24"/>
          <w:szCs w:val="24"/>
        </w:rPr>
        <w:t xml:space="preserve">are </w:t>
      </w:r>
      <w:r w:rsidR="00366609" w:rsidRPr="003A3575">
        <w:rPr>
          <w:rFonts w:ascii="HelveticaNeueLT Std" w:hAnsi="HelveticaNeueLT Std"/>
          <w:sz w:val="24"/>
          <w:szCs w:val="24"/>
        </w:rPr>
        <w:t>tendered this year</w:t>
      </w:r>
      <w:r w:rsidR="00D705CD">
        <w:rPr>
          <w:rFonts w:ascii="HelveticaNeueLT Std" w:hAnsi="HelveticaNeueLT Std"/>
          <w:sz w:val="24"/>
          <w:szCs w:val="24"/>
        </w:rPr>
        <w:t>,</w:t>
      </w:r>
      <w:r w:rsidR="00366609" w:rsidRPr="003A3575">
        <w:rPr>
          <w:rFonts w:ascii="HelveticaNeueLT Std" w:hAnsi="HelveticaNeueLT Std"/>
          <w:sz w:val="24"/>
          <w:szCs w:val="24"/>
        </w:rPr>
        <w:t xml:space="preserve"> the individual budgets will be adjusted</w:t>
      </w:r>
      <w:r>
        <w:rPr>
          <w:rFonts w:ascii="HelveticaNeueLT Std" w:hAnsi="HelveticaNeueLT Std"/>
          <w:sz w:val="24"/>
          <w:szCs w:val="24"/>
        </w:rPr>
        <w:t xml:space="preserve"> </w:t>
      </w:r>
      <w:r w:rsidR="00366609" w:rsidRPr="003A3575">
        <w:rPr>
          <w:rFonts w:ascii="HelveticaNeueLT Std" w:hAnsi="HelveticaNeueLT Std"/>
          <w:sz w:val="24"/>
          <w:szCs w:val="24"/>
        </w:rPr>
        <w:t>to ensure the overall budget is not exceeded.</w:t>
      </w:r>
    </w:p>
    <w:p w:rsidR="008B19CB" w:rsidRPr="00670B77" w:rsidRDefault="008B19CB" w:rsidP="00670B77">
      <w:pPr>
        <w:pStyle w:val="Heading2"/>
      </w:pPr>
      <w:r w:rsidRPr="00670B77">
        <w:t>Link to Strategic Goals / Priorities</w:t>
      </w:r>
    </w:p>
    <w:p w:rsidR="00CE7F0D" w:rsidRDefault="00505225" w:rsidP="00373380">
      <w:pPr>
        <w:spacing w:before="240"/>
        <w:rPr>
          <w:rFonts w:ascii="HelveticaNeueLT Std" w:hAnsi="HelveticaNeueLT Std"/>
          <w:sz w:val="24"/>
          <w:szCs w:val="24"/>
        </w:rPr>
      </w:pPr>
      <w:r>
        <w:rPr>
          <w:rFonts w:ascii="HelveticaNeueLT Std" w:hAnsi="HelveticaNeueLT Std"/>
          <w:sz w:val="24"/>
          <w:szCs w:val="24"/>
        </w:rPr>
        <w:t>The values statement of the approved Corporate Strategic Plan includes fiscal responsibility.  Consistent application of the purchasing policy requirements focuses on the commitment to ensure effective and efficient processes, which offer prudent use of public funds.</w:t>
      </w:r>
    </w:p>
    <w:p w:rsidR="004132BB" w:rsidRPr="00CA7547" w:rsidRDefault="004132BB" w:rsidP="004132BB">
      <w:pPr>
        <w:spacing w:line="360" w:lineRule="auto"/>
        <w:rPr>
          <w:rFonts w:ascii="HelveticaNeueLT Std" w:eastAsia="HelveticaNeueLT Std" w:hAnsi="HelveticaNeueLT Std" w:cs="Times New Roman"/>
          <w:sz w:val="24"/>
          <w:szCs w:val="24"/>
        </w:rPr>
      </w:pPr>
      <w:r w:rsidRPr="00CA7547">
        <w:rPr>
          <w:rFonts w:ascii="HelveticaNeueLT Std" w:eastAsia="HelveticaNeueLT Std" w:hAnsi="HelveticaNeueLT Std" w:cs="Times New Roman"/>
          <w:sz w:val="24"/>
          <w:szCs w:val="24"/>
        </w:rPr>
        <w:lastRenderedPageBreak/>
        <w:t>Respectfully submitted by,</w:t>
      </w:r>
    </w:p>
    <w:p w:rsidR="00520E4B" w:rsidRPr="00520E4B" w:rsidRDefault="004132BB" w:rsidP="004132BB">
      <w:pPr>
        <w:spacing w:before="240"/>
        <w:rPr>
          <w:rFonts w:ascii="HelveticaNeueLT Std" w:hAnsi="HelveticaNeueLT Std"/>
          <w:sz w:val="24"/>
          <w:szCs w:val="24"/>
        </w:rPr>
      </w:pPr>
      <w:r w:rsidRPr="00CA7547">
        <w:rPr>
          <w:rFonts w:ascii="HelveticaNeueLT Std" w:eastAsia="HelveticaNeueLT Std" w:hAnsi="HelveticaNeueLT Std" w:cs="Times New Roman"/>
          <w:sz w:val="24"/>
          <w:szCs w:val="28"/>
        </w:rPr>
        <w:t>M.J. Kelly</w:t>
      </w:r>
      <w:r w:rsidRPr="00CA7547">
        <w:rPr>
          <w:rFonts w:ascii="HelveticaNeueLT Std" w:eastAsia="HelveticaNeueLT Std" w:hAnsi="HelveticaNeueLT Std" w:cs="Times New Roman"/>
          <w:sz w:val="24"/>
          <w:szCs w:val="28"/>
        </w:rPr>
        <w:br/>
        <w:t>Director of Transportation Services</w:t>
      </w:r>
    </w:p>
    <w:sectPr w:rsidR="00520E4B" w:rsidRPr="00520E4B" w:rsidSect="00B618DF">
      <w:type w:val="continuous"/>
      <w:pgSz w:w="12240" w:h="15840"/>
      <w:pgMar w:top="1135" w:right="1440" w:bottom="720" w:left="12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71" w:rsidRDefault="00A30671" w:rsidP="00451D2E">
      <w:r>
        <w:separator/>
      </w:r>
    </w:p>
    <w:p w:rsidR="00A30671" w:rsidRDefault="00A30671" w:rsidP="00451D2E"/>
    <w:p w:rsidR="00A30671" w:rsidRDefault="00A30671" w:rsidP="00451D2E"/>
  </w:endnote>
  <w:endnote w:type="continuationSeparator" w:id="0">
    <w:p w:rsidR="00A30671" w:rsidRDefault="00A30671" w:rsidP="00451D2E">
      <w:r>
        <w:continuationSeparator/>
      </w:r>
    </w:p>
    <w:p w:rsidR="00A30671" w:rsidRDefault="00A30671" w:rsidP="00451D2E"/>
    <w:p w:rsidR="00A30671" w:rsidRDefault="00A30671"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D4" w:rsidRPr="004B71E7" w:rsidRDefault="00E641D4" w:rsidP="00167074">
    <w:pPr>
      <w:pStyle w:val="Footer"/>
      <w:pBdr>
        <w:top w:val="single" w:sz="4" w:space="1" w:color="auto"/>
      </w:pBdr>
      <w:tabs>
        <w:tab w:val="clear" w:pos="9360"/>
        <w:tab w:val="right" w:pos="9540"/>
      </w:tabs>
    </w:pPr>
    <w:r>
      <w:t>TR-TAPS-</w:t>
    </w:r>
    <w:r w:rsidR="00646E33">
      <w:t>32</w:t>
    </w:r>
    <w:r w:rsidR="006C7E06">
      <w:t>-15</w:t>
    </w:r>
    <w:r w:rsidRPr="004B71E7">
      <w:ptab w:relativeTo="margin" w:alignment="center" w:leader="none"/>
    </w:r>
    <w:r w:rsidR="00235966">
      <w:fldChar w:fldCharType="begin"/>
    </w:r>
    <w:r w:rsidR="00235966">
      <w:instrText xml:space="preserve"> PAGE   \* MERGEFORMAT </w:instrText>
    </w:r>
    <w:r w:rsidR="00235966">
      <w:fldChar w:fldCharType="separate"/>
    </w:r>
    <w:r w:rsidR="007721D2">
      <w:rPr>
        <w:noProof/>
      </w:rPr>
      <w:t>1</w:t>
    </w:r>
    <w:r w:rsidR="00235966">
      <w:rPr>
        <w:noProof/>
      </w:rPr>
      <w:fldChar w:fldCharType="end"/>
    </w:r>
    <w:r w:rsidRPr="004B71E7">
      <w:ptab w:relativeTo="margin" w:alignment="right" w:leader="none"/>
    </w:r>
    <w:r w:rsidR="00646E33">
      <w:t>April 23</w:t>
    </w:r>
    <w:r w:rsidR="006C7E06">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71" w:rsidRDefault="00A30671" w:rsidP="00451D2E">
      <w:r>
        <w:separator/>
      </w:r>
    </w:p>
    <w:p w:rsidR="00A30671" w:rsidRDefault="00A30671" w:rsidP="00451D2E"/>
    <w:p w:rsidR="00A30671" w:rsidRDefault="00A30671" w:rsidP="00451D2E"/>
  </w:footnote>
  <w:footnote w:type="continuationSeparator" w:id="0">
    <w:p w:rsidR="00A30671" w:rsidRDefault="00A30671" w:rsidP="00451D2E">
      <w:r>
        <w:continuationSeparator/>
      </w:r>
    </w:p>
    <w:p w:rsidR="00A30671" w:rsidRDefault="00A30671" w:rsidP="00451D2E"/>
    <w:p w:rsidR="00A30671" w:rsidRDefault="00A30671" w:rsidP="00451D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811"/>
    <w:multiLevelType w:val="hybridMultilevel"/>
    <w:tmpl w:val="F7F0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F6883"/>
    <w:multiLevelType w:val="hybridMultilevel"/>
    <w:tmpl w:val="744CF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D41FD4"/>
    <w:multiLevelType w:val="hybridMultilevel"/>
    <w:tmpl w:val="5B86B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020174"/>
    <w:multiLevelType w:val="hybridMultilevel"/>
    <w:tmpl w:val="98B01A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F535CB"/>
    <w:multiLevelType w:val="hybridMultilevel"/>
    <w:tmpl w:val="BE10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404EA"/>
    <w:multiLevelType w:val="hybridMultilevel"/>
    <w:tmpl w:val="80301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373BF"/>
    <w:multiLevelType w:val="hybridMultilevel"/>
    <w:tmpl w:val="97AE62DE"/>
    <w:lvl w:ilvl="0" w:tplc="F7E468FA">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F40BC"/>
    <w:multiLevelType w:val="hybridMultilevel"/>
    <w:tmpl w:val="C4E0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54221"/>
    <w:multiLevelType w:val="hybridMultilevel"/>
    <w:tmpl w:val="4DA41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8E12B62"/>
    <w:multiLevelType w:val="hybridMultilevel"/>
    <w:tmpl w:val="FF4CAD26"/>
    <w:lvl w:ilvl="0" w:tplc="A7D89C56">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34CB0"/>
    <w:multiLevelType w:val="hybridMultilevel"/>
    <w:tmpl w:val="7B921F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6B975935"/>
    <w:multiLevelType w:val="hybridMultilevel"/>
    <w:tmpl w:val="01F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60A07"/>
    <w:multiLevelType w:val="hybridMultilevel"/>
    <w:tmpl w:val="A19C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6"/>
  </w:num>
  <w:num w:numId="6">
    <w:abstractNumId w:val="0"/>
  </w:num>
  <w:num w:numId="7">
    <w:abstractNumId w:val="9"/>
  </w:num>
  <w:num w:numId="8">
    <w:abstractNumId w:val="12"/>
  </w:num>
  <w:num w:numId="9">
    <w:abstractNumId w:val="7"/>
  </w:num>
  <w:num w:numId="10">
    <w:abstractNumId w:val="3"/>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2E37"/>
    <w:rsid w:val="00004B90"/>
    <w:rsid w:val="00004E2E"/>
    <w:rsid w:val="000066B3"/>
    <w:rsid w:val="0000771A"/>
    <w:rsid w:val="00010078"/>
    <w:rsid w:val="00013F45"/>
    <w:rsid w:val="00014ADE"/>
    <w:rsid w:val="00023E2B"/>
    <w:rsid w:val="00027D4E"/>
    <w:rsid w:val="00035834"/>
    <w:rsid w:val="00037B55"/>
    <w:rsid w:val="00052B00"/>
    <w:rsid w:val="00055EAA"/>
    <w:rsid w:val="00056B57"/>
    <w:rsid w:val="00075BEB"/>
    <w:rsid w:val="000A6213"/>
    <w:rsid w:val="000A6C05"/>
    <w:rsid w:val="000B63E1"/>
    <w:rsid w:val="000C0A31"/>
    <w:rsid w:val="000C2917"/>
    <w:rsid w:val="000C6B4F"/>
    <w:rsid w:val="000C7E02"/>
    <w:rsid w:val="000F0404"/>
    <w:rsid w:val="000F0467"/>
    <w:rsid w:val="00102C57"/>
    <w:rsid w:val="00105946"/>
    <w:rsid w:val="00113BE6"/>
    <w:rsid w:val="00113F55"/>
    <w:rsid w:val="00123EC3"/>
    <w:rsid w:val="00133654"/>
    <w:rsid w:val="0013591D"/>
    <w:rsid w:val="00141C30"/>
    <w:rsid w:val="001423AC"/>
    <w:rsid w:val="00157C2F"/>
    <w:rsid w:val="0016274F"/>
    <w:rsid w:val="00163F11"/>
    <w:rsid w:val="00167074"/>
    <w:rsid w:val="001735F7"/>
    <w:rsid w:val="00173FC4"/>
    <w:rsid w:val="0019699C"/>
    <w:rsid w:val="001970AD"/>
    <w:rsid w:val="001A2505"/>
    <w:rsid w:val="001A44F5"/>
    <w:rsid w:val="001A5239"/>
    <w:rsid w:val="001A5532"/>
    <w:rsid w:val="001A6CE4"/>
    <w:rsid w:val="001B1050"/>
    <w:rsid w:val="001B162D"/>
    <w:rsid w:val="001B54A8"/>
    <w:rsid w:val="001C3BF9"/>
    <w:rsid w:val="001C6C7F"/>
    <w:rsid w:val="001D2A5B"/>
    <w:rsid w:val="001D439D"/>
    <w:rsid w:val="001D47F3"/>
    <w:rsid w:val="001E6C40"/>
    <w:rsid w:val="001F230F"/>
    <w:rsid w:val="001F2A5D"/>
    <w:rsid w:val="002035B3"/>
    <w:rsid w:val="00207DCE"/>
    <w:rsid w:val="00224F69"/>
    <w:rsid w:val="00232AA6"/>
    <w:rsid w:val="00235966"/>
    <w:rsid w:val="002367C2"/>
    <w:rsid w:val="002514FA"/>
    <w:rsid w:val="002562CB"/>
    <w:rsid w:val="0027485D"/>
    <w:rsid w:val="00275EFB"/>
    <w:rsid w:val="0028646E"/>
    <w:rsid w:val="00286706"/>
    <w:rsid w:val="00286F8A"/>
    <w:rsid w:val="002966D1"/>
    <w:rsid w:val="002B2881"/>
    <w:rsid w:val="002B538F"/>
    <w:rsid w:val="002B670D"/>
    <w:rsid w:val="002C48AB"/>
    <w:rsid w:val="002C73F5"/>
    <w:rsid w:val="002D7084"/>
    <w:rsid w:val="002E1E4F"/>
    <w:rsid w:val="002F2A98"/>
    <w:rsid w:val="002F7ED9"/>
    <w:rsid w:val="00301DA8"/>
    <w:rsid w:val="003119BE"/>
    <w:rsid w:val="00313473"/>
    <w:rsid w:val="00314ED3"/>
    <w:rsid w:val="00324AEC"/>
    <w:rsid w:val="003368E2"/>
    <w:rsid w:val="00360821"/>
    <w:rsid w:val="00363A74"/>
    <w:rsid w:val="00364C81"/>
    <w:rsid w:val="00366609"/>
    <w:rsid w:val="003670BD"/>
    <w:rsid w:val="00370E11"/>
    <w:rsid w:val="003722A3"/>
    <w:rsid w:val="00373380"/>
    <w:rsid w:val="00376902"/>
    <w:rsid w:val="00377A35"/>
    <w:rsid w:val="00380828"/>
    <w:rsid w:val="0038300D"/>
    <w:rsid w:val="00386EB1"/>
    <w:rsid w:val="0039093B"/>
    <w:rsid w:val="00394DEB"/>
    <w:rsid w:val="003A18EE"/>
    <w:rsid w:val="003A2FB3"/>
    <w:rsid w:val="003A3575"/>
    <w:rsid w:val="003A73E8"/>
    <w:rsid w:val="003B1C1F"/>
    <w:rsid w:val="003C0F18"/>
    <w:rsid w:val="003C2DFE"/>
    <w:rsid w:val="003C3E48"/>
    <w:rsid w:val="003C406E"/>
    <w:rsid w:val="003C4A45"/>
    <w:rsid w:val="003E17E9"/>
    <w:rsid w:val="003E6FE1"/>
    <w:rsid w:val="00401011"/>
    <w:rsid w:val="004021BB"/>
    <w:rsid w:val="00406B25"/>
    <w:rsid w:val="00407CAF"/>
    <w:rsid w:val="004132BB"/>
    <w:rsid w:val="0041442E"/>
    <w:rsid w:val="00420AF1"/>
    <w:rsid w:val="00423784"/>
    <w:rsid w:val="00425C92"/>
    <w:rsid w:val="00427ABC"/>
    <w:rsid w:val="0043193A"/>
    <w:rsid w:val="00432F5A"/>
    <w:rsid w:val="00432FF6"/>
    <w:rsid w:val="00436078"/>
    <w:rsid w:val="00436562"/>
    <w:rsid w:val="0044440D"/>
    <w:rsid w:val="00451897"/>
    <w:rsid w:val="00451D2E"/>
    <w:rsid w:val="004553BF"/>
    <w:rsid w:val="004636DA"/>
    <w:rsid w:val="004642E1"/>
    <w:rsid w:val="00464F61"/>
    <w:rsid w:val="004741C7"/>
    <w:rsid w:val="00475D0D"/>
    <w:rsid w:val="00486F1D"/>
    <w:rsid w:val="00487182"/>
    <w:rsid w:val="00497F01"/>
    <w:rsid w:val="004A0A73"/>
    <w:rsid w:val="004A0C32"/>
    <w:rsid w:val="004A77CF"/>
    <w:rsid w:val="004B71E7"/>
    <w:rsid w:val="004C4839"/>
    <w:rsid w:val="004C624C"/>
    <w:rsid w:val="004F69CE"/>
    <w:rsid w:val="00505225"/>
    <w:rsid w:val="00516C2D"/>
    <w:rsid w:val="0052022A"/>
    <w:rsid w:val="00520E4B"/>
    <w:rsid w:val="00526E33"/>
    <w:rsid w:val="00530D01"/>
    <w:rsid w:val="00541245"/>
    <w:rsid w:val="00543126"/>
    <w:rsid w:val="00543FE0"/>
    <w:rsid w:val="00562A02"/>
    <w:rsid w:val="00566528"/>
    <w:rsid w:val="00577012"/>
    <w:rsid w:val="00581EC2"/>
    <w:rsid w:val="00584C27"/>
    <w:rsid w:val="005973A8"/>
    <w:rsid w:val="005A677F"/>
    <w:rsid w:val="005C07B0"/>
    <w:rsid w:val="005C22CC"/>
    <w:rsid w:val="005C4375"/>
    <w:rsid w:val="005C4983"/>
    <w:rsid w:val="005C66C8"/>
    <w:rsid w:val="0060125D"/>
    <w:rsid w:val="00602111"/>
    <w:rsid w:val="00602768"/>
    <w:rsid w:val="0060303A"/>
    <w:rsid w:val="006034D0"/>
    <w:rsid w:val="0060408C"/>
    <w:rsid w:val="006046B9"/>
    <w:rsid w:val="0061086A"/>
    <w:rsid w:val="006128DA"/>
    <w:rsid w:val="00613671"/>
    <w:rsid w:val="006146E7"/>
    <w:rsid w:val="0061780F"/>
    <w:rsid w:val="00620093"/>
    <w:rsid w:val="00632DDF"/>
    <w:rsid w:val="00633DB0"/>
    <w:rsid w:val="00634286"/>
    <w:rsid w:val="006377FC"/>
    <w:rsid w:val="0064567C"/>
    <w:rsid w:val="00645DEE"/>
    <w:rsid w:val="00646E33"/>
    <w:rsid w:val="006516EC"/>
    <w:rsid w:val="00651977"/>
    <w:rsid w:val="00652FF7"/>
    <w:rsid w:val="00654905"/>
    <w:rsid w:val="00656BE5"/>
    <w:rsid w:val="006632DB"/>
    <w:rsid w:val="0067047E"/>
    <w:rsid w:val="00670B77"/>
    <w:rsid w:val="00677B24"/>
    <w:rsid w:val="00682D1B"/>
    <w:rsid w:val="006B1D12"/>
    <w:rsid w:val="006B76D8"/>
    <w:rsid w:val="006C0201"/>
    <w:rsid w:val="006C3115"/>
    <w:rsid w:val="006C7E06"/>
    <w:rsid w:val="006E16FE"/>
    <w:rsid w:val="006E2598"/>
    <w:rsid w:val="006E3C18"/>
    <w:rsid w:val="006E5D38"/>
    <w:rsid w:val="006E7CF3"/>
    <w:rsid w:val="006F55BA"/>
    <w:rsid w:val="0070293A"/>
    <w:rsid w:val="00705BB2"/>
    <w:rsid w:val="007072C6"/>
    <w:rsid w:val="00707D41"/>
    <w:rsid w:val="00711434"/>
    <w:rsid w:val="00711527"/>
    <w:rsid w:val="00713499"/>
    <w:rsid w:val="00720998"/>
    <w:rsid w:val="00733AE9"/>
    <w:rsid w:val="00733FC1"/>
    <w:rsid w:val="007361A3"/>
    <w:rsid w:val="007367CC"/>
    <w:rsid w:val="00742A92"/>
    <w:rsid w:val="00747F29"/>
    <w:rsid w:val="00752A92"/>
    <w:rsid w:val="007555F5"/>
    <w:rsid w:val="007721D2"/>
    <w:rsid w:val="00775851"/>
    <w:rsid w:val="00783062"/>
    <w:rsid w:val="007A0B34"/>
    <w:rsid w:val="007A0FD6"/>
    <w:rsid w:val="007A534D"/>
    <w:rsid w:val="007A615D"/>
    <w:rsid w:val="007F10E9"/>
    <w:rsid w:val="00804AA5"/>
    <w:rsid w:val="00805A56"/>
    <w:rsid w:val="00807805"/>
    <w:rsid w:val="00811EB6"/>
    <w:rsid w:val="0082174C"/>
    <w:rsid w:val="00823BEF"/>
    <w:rsid w:val="00825CB9"/>
    <w:rsid w:val="008361DE"/>
    <w:rsid w:val="00837430"/>
    <w:rsid w:val="00843D98"/>
    <w:rsid w:val="00850A4E"/>
    <w:rsid w:val="00867444"/>
    <w:rsid w:val="00871D02"/>
    <w:rsid w:val="00872C3F"/>
    <w:rsid w:val="0087578E"/>
    <w:rsid w:val="00893298"/>
    <w:rsid w:val="00894EAA"/>
    <w:rsid w:val="008A5B6B"/>
    <w:rsid w:val="008A6703"/>
    <w:rsid w:val="008B0C5E"/>
    <w:rsid w:val="008B19CB"/>
    <w:rsid w:val="008C0726"/>
    <w:rsid w:val="008C2DAE"/>
    <w:rsid w:val="008E4214"/>
    <w:rsid w:val="008E76F7"/>
    <w:rsid w:val="009003BF"/>
    <w:rsid w:val="00901A83"/>
    <w:rsid w:val="00905717"/>
    <w:rsid w:val="0092480E"/>
    <w:rsid w:val="00932F24"/>
    <w:rsid w:val="00934D0C"/>
    <w:rsid w:val="0094490D"/>
    <w:rsid w:val="00945C77"/>
    <w:rsid w:val="00946EF5"/>
    <w:rsid w:val="00950ECF"/>
    <w:rsid w:val="0095258E"/>
    <w:rsid w:val="009534BE"/>
    <w:rsid w:val="00957D85"/>
    <w:rsid w:val="009651E7"/>
    <w:rsid w:val="009741C4"/>
    <w:rsid w:val="009766AB"/>
    <w:rsid w:val="00976854"/>
    <w:rsid w:val="00994BA4"/>
    <w:rsid w:val="009956F2"/>
    <w:rsid w:val="009B2AE5"/>
    <w:rsid w:val="009B5056"/>
    <w:rsid w:val="009C2627"/>
    <w:rsid w:val="009C5296"/>
    <w:rsid w:val="009D3154"/>
    <w:rsid w:val="009D5DEE"/>
    <w:rsid w:val="009D64B0"/>
    <w:rsid w:val="009E0033"/>
    <w:rsid w:val="009E75F8"/>
    <w:rsid w:val="009F2557"/>
    <w:rsid w:val="00A11139"/>
    <w:rsid w:val="00A12341"/>
    <w:rsid w:val="00A2178A"/>
    <w:rsid w:val="00A30671"/>
    <w:rsid w:val="00A313B2"/>
    <w:rsid w:val="00A32874"/>
    <w:rsid w:val="00A446A5"/>
    <w:rsid w:val="00A551F7"/>
    <w:rsid w:val="00A632AD"/>
    <w:rsid w:val="00A7304F"/>
    <w:rsid w:val="00A73A2E"/>
    <w:rsid w:val="00A7480F"/>
    <w:rsid w:val="00A81FA7"/>
    <w:rsid w:val="00A8214C"/>
    <w:rsid w:val="00A86DED"/>
    <w:rsid w:val="00AA6981"/>
    <w:rsid w:val="00AA7986"/>
    <w:rsid w:val="00AB0AB4"/>
    <w:rsid w:val="00AB59EB"/>
    <w:rsid w:val="00AC0AF2"/>
    <w:rsid w:val="00AC7E2F"/>
    <w:rsid w:val="00AD5D57"/>
    <w:rsid w:val="00AF1DFD"/>
    <w:rsid w:val="00B018F4"/>
    <w:rsid w:val="00B0259C"/>
    <w:rsid w:val="00B03DDD"/>
    <w:rsid w:val="00B05FE2"/>
    <w:rsid w:val="00B06127"/>
    <w:rsid w:val="00B07DE7"/>
    <w:rsid w:val="00B123AB"/>
    <w:rsid w:val="00B12CE3"/>
    <w:rsid w:val="00B174AE"/>
    <w:rsid w:val="00B27074"/>
    <w:rsid w:val="00B3332A"/>
    <w:rsid w:val="00B526C4"/>
    <w:rsid w:val="00B618DF"/>
    <w:rsid w:val="00B6490D"/>
    <w:rsid w:val="00B6523B"/>
    <w:rsid w:val="00B95351"/>
    <w:rsid w:val="00B9795E"/>
    <w:rsid w:val="00BA1380"/>
    <w:rsid w:val="00BA49B0"/>
    <w:rsid w:val="00BC1812"/>
    <w:rsid w:val="00BD04A5"/>
    <w:rsid w:val="00BD48FD"/>
    <w:rsid w:val="00BD62C7"/>
    <w:rsid w:val="00BE055A"/>
    <w:rsid w:val="00BF1596"/>
    <w:rsid w:val="00BF2184"/>
    <w:rsid w:val="00BF5A83"/>
    <w:rsid w:val="00BF722A"/>
    <w:rsid w:val="00BF7279"/>
    <w:rsid w:val="00BF76A6"/>
    <w:rsid w:val="00C016D2"/>
    <w:rsid w:val="00C01948"/>
    <w:rsid w:val="00C05155"/>
    <w:rsid w:val="00C10549"/>
    <w:rsid w:val="00C13EFD"/>
    <w:rsid w:val="00C21436"/>
    <w:rsid w:val="00C2345E"/>
    <w:rsid w:val="00C2645C"/>
    <w:rsid w:val="00C3703A"/>
    <w:rsid w:val="00C37423"/>
    <w:rsid w:val="00C44C83"/>
    <w:rsid w:val="00C463EC"/>
    <w:rsid w:val="00C523D9"/>
    <w:rsid w:val="00C64DD9"/>
    <w:rsid w:val="00C66BF4"/>
    <w:rsid w:val="00C66F17"/>
    <w:rsid w:val="00C670C8"/>
    <w:rsid w:val="00C70F57"/>
    <w:rsid w:val="00C71442"/>
    <w:rsid w:val="00C71960"/>
    <w:rsid w:val="00C76D82"/>
    <w:rsid w:val="00C80156"/>
    <w:rsid w:val="00C82083"/>
    <w:rsid w:val="00C83FDF"/>
    <w:rsid w:val="00C946C5"/>
    <w:rsid w:val="00CA3440"/>
    <w:rsid w:val="00CA35AA"/>
    <w:rsid w:val="00CA3DFF"/>
    <w:rsid w:val="00CA4D2F"/>
    <w:rsid w:val="00CA4F0B"/>
    <w:rsid w:val="00CD5914"/>
    <w:rsid w:val="00CE4490"/>
    <w:rsid w:val="00CE5457"/>
    <w:rsid w:val="00CE7F0D"/>
    <w:rsid w:val="00CF6212"/>
    <w:rsid w:val="00CF7886"/>
    <w:rsid w:val="00D04981"/>
    <w:rsid w:val="00D11408"/>
    <w:rsid w:val="00D11F17"/>
    <w:rsid w:val="00D12F23"/>
    <w:rsid w:val="00D27E99"/>
    <w:rsid w:val="00D35E43"/>
    <w:rsid w:val="00D40A23"/>
    <w:rsid w:val="00D414F5"/>
    <w:rsid w:val="00D42F09"/>
    <w:rsid w:val="00D46D43"/>
    <w:rsid w:val="00D477E4"/>
    <w:rsid w:val="00D57EFC"/>
    <w:rsid w:val="00D645B7"/>
    <w:rsid w:val="00D705CD"/>
    <w:rsid w:val="00D74F36"/>
    <w:rsid w:val="00D80753"/>
    <w:rsid w:val="00D92205"/>
    <w:rsid w:val="00D9290B"/>
    <w:rsid w:val="00DA0B83"/>
    <w:rsid w:val="00DA750B"/>
    <w:rsid w:val="00DA7669"/>
    <w:rsid w:val="00DB11EF"/>
    <w:rsid w:val="00DB391B"/>
    <w:rsid w:val="00DD7F9E"/>
    <w:rsid w:val="00DE0F2F"/>
    <w:rsid w:val="00DE29D6"/>
    <w:rsid w:val="00DE3EBC"/>
    <w:rsid w:val="00DE5BA2"/>
    <w:rsid w:val="00DF135B"/>
    <w:rsid w:val="00DF1EC4"/>
    <w:rsid w:val="00E00091"/>
    <w:rsid w:val="00E06819"/>
    <w:rsid w:val="00E0695A"/>
    <w:rsid w:val="00E14328"/>
    <w:rsid w:val="00E144F8"/>
    <w:rsid w:val="00E16386"/>
    <w:rsid w:val="00E26705"/>
    <w:rsid w:val="00E3134E"/>
    <w:rsid w:val="00E40CAC"/>
    <w:rsid w:val="00E641D4"/>
    <w:rsid w:val="00E83CE6"/>
    <w:rsid w:val="00E849B7"/>
    <w:rsid w:val="00E8656A"/>
    <w:rsid w:val="00E90415"/>
    <w:rsid w:val="00E9595A"/>
    <w:rsid w:val="00EA7F77"/>
    <w:rsid w:val="00EB1C60"/>
    <w:rsid w:val="00EB1CD0"/>
    <w:rsid w:val="00EB3135"/>
    <w:rsid w:val="00EC7176"/>
    <w:rsid w:val="00ED2B3E"/>
    <w:rsid w:val="00ED4A0A"/>
    <w:rsid w:val="00ED5E47"/>
    <w:rsid w:val="00EF5ECB"/>
    <w:rsid w:val="00F00C35"/>
    <w:rsid w:val="00F07653"/>
    <w:rsid w:val="00F17595"/>
    <w:rsid w:val="00F30537"/>
    <w:rsid w:val="00F340A9"/>
    <w:rsid w:val="00F4250F"/>
    <w:rsid w:val="00F42F1A"/>
    <w:rsid w:val="00F55770"/>
    <w:rsid w:val="00F66FFE"/>
    <w:rsid w:val="00F73245"/>
    <w:rsid w:val="00F74424"/>
    <w:rsid w:val="00F7644F"/>
    <w:rsid w:val="00F902C0"/>
    <w:rsid w:val="00F93046"/>
    <w:rsid w:val="00FA650D"/>
    <w:rsid w:val="00FC56D7"/>
    <w:rsid w:val="00FC7413"/>
    <w:rsid w:val="00FC76A8"/>
    <w:rsid w:val="00FF6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9C2627"/>
    <w:rPr>
      <w:color w:val="0000FF" w:themeColor="hyperlink"/>
      <w:u w:val="single"/>
    </w:rPr>
  </w:style>
  <w:style w:type="table" w:styleId="TableGrid">
    <w:name w:val="Table Grid"/>
    <w:basedOn w:val="TableNormal"/>
    <w:uiPriority w:val="59"/>
    <w:rsid w:val="006E3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20093"/>
    <w:rPr>
      <w:color w:val="800080" w:themeColor="followedHyperlink"/>
      <w:u w:val="single"/>
    </w:rPr>
  </w:style>
  <w:style w:type="paragraph" w:customStyle="1" w:styleId="Default">
    <w:name w:val="Default"/>
    <w:rsid w:val="00427AB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9C2627"/>
    <w:rPr>
      <w:color w:val="0000FF" w:themeColor="hyperlink"/>
      <w:u w:val="single"/>
    </w:rPr>
  </w:style>
  <w:style w:type="table" w:styleId="TableGrid">
    <w:name w:val="Table Grid"/>
    <w:basedOn w:val="TableNormal"/>
    <w:uiPriority w:val="59"/>
    <w:rsid w:val="006E3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20093"/>
    <w:rPr>
      <w:color w:val="800080" w:themeColor="followedHyperlink"/>
      <w:u w:val="single"/>
    </w:rPr>
  </w:style>
  <w:style w:type="paragraph" w:customStyle="1" w:styleId="Default">
    <w:name w:val="Default"/>
    <w:rsid w:val="00427A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2015-03-31T08:12:00+00:00</sentdate>
    <Superseded xmlns="e6cd7bd4-3f3e-4495-b8c9-139289cd76e6">false</Superseded>
    <Year xmlns="e6cd7bd4-3f3e-4495-b8c9-139289cd76e6" xsi:nil="true"/>
    <originator xmlns="e6cd7bd4-3f3e-4495-b8c9-139289cd76e6">hoyp</originator>
    <policyNumber xmlns="e6cd7bd4-3f3e-4495-b8c9-139289cd76e6" xsi:nil="true"/>
    <documentNumber xmlns="e6cd7bd4-3f3e-4495-b8c9-139289cd76e6">GC_100162742</documentNumber>
    <Municipality xmlns="e6cd7bd4-3f3e-4495-b8c9-139289cd76e6" xsi:nil="true"/>
    <gcNumber xmlns="e6cd7bd4-3f3e-4495-b8c9-139289cd76e6">GC_247008</gcNumber>
    <recordCategory xmlns="e6cd7bd4-3f3e-4495-b8c9-139289cd76e6">C11</recordCategory>
    <isPublic xmlns="e6cd7bd4-3f3e-4495-b8c9-139289cd76e6">true</isPublic>
    <sharedId xmlns="e6cd7bd4-3f3e-4495-b8c9-139289cd76e6">PSEap-diQoqzJQVLaH3RkA</sharedId>
    <committee xmlns="e6cd7bd4-3f3e-4495-b8c9-139289cd76e6">Transportation and Public Safety Committee</committee>
    <meetingId xmlns="e6cd7bd4-3f3e-4495-b8c9-139289cd76e6">[2015-04-23 Transportation &amp; Public Safety [1125]]</meetingId>
    <capitalProjectPriority xmlns="e6cd7bd4-3f3e-4495-b8c9-139289cd76e6" xsi:nil="true"/>
    <policyApprovalDate xmlns="e6cd7bd4-3f3e-4495-b8c9-139289cd76e6" xsi:nil="true"/>
    <NodeRef xmlns="e6cd7bd4-3f3e-4495-b8c9-139289cd76e6">c62fd0e2-abe0-454c-bb8d-56815bc80cde</NodeRef>
    <addressees xmlns="e6cd7bd4-3f3e-4495-b8c9-139289cd76e6" xsi:nil="true"/>
    <identifier xmlns="e6cd7bd4-3f3e-4495-b8c9-139289cd76e6">2016-1466999141689</identifier>
    <reviewAsOf xmlns="e6cd7bd4-3f3e-4495-b8c9-139289cd76e6">2026-11-08T08:24:13+00:00</reviewAsOf>
    <bylawNumber xmlns="e6cd7bd4-3f3e-4495-b8c9-139289cd76e6" xsi:nil="true"/>
    <addressee xmlns="e6cd7bd4-3f3e-4495-b8c9-139289cd76e6" xsi:nil="true"/>
    <recordOriginatingLocation xmlns="e6cd7bd4-3f3e-4495-b8c9-139289cd76e6">workspace://SpacesStore/d6015e17-a12e-4ea9-8263-130b6379b5c1</recordOriginatingLocation>
    <agreementNumber xmlns="e6cd7bd4-3f3e-4495-b8c9-139289cd76e6" xsi:nil="true"/>
    <policyApprovedBy xmlns="e6cd7bd4-3f3e-4495-b8c9-139289cd76e6" xsi:nil="true"/>
    <procedureNumber xmlns="e6cd7bd4-3f3e-4495-b8c9-139289cd76e6" xsi:nil="true"/>
    <purchaseNumber xmlns="e6cd7bd4-3f3e-4495-b8c9-139289cd76e6">RFT-TS-09-15</purchaseNumber>
  </documentManagement>
</p:properties>
</file>

<file path=customXml/itemProps1.xml><?xml version="1.0" encoding="utf-8"?>
<ds:datastoreItem xmlns:ds="http://schemas.openxmlformats.org/officeDocument/2006/customXml" ds:itemID="{A0C0C2A3-9702-4634-87B4-A64FC8768FB6}">
  <ds:schemaRefs>
    <ds:schemaRef ds:uri="http://schemas.openxmlformats.org/officeDocument/2006/bibliography"/>
  </ds:schemaRefs>
</ds:datastoreItem>
</file>

<file path=customXml/itemProps2.xml><?xml version="1.0" encoding="utf-8"?>
<ds:datastoreItem xmlns:ds="http://schemas.openxmlformats.org/officeDocument/2006/customXml" ds:itemID="{CAFA9506-FC8E-41BC-96B8-E48B8B0B5707}"/>
</file>

<file path=customXml/itemProps3.xml><?xml version="1.0" encoding="utf-8"?>
<ds:datastoreItem xmlns:ds="http://schemas.openxmlformats.org/officeDocument/2006/customXml" ds:itemID="{0C92ECFE-23AE-41CF-A067-518AFBDF4260}"/>
</file>

<file path=customXml/itemProps4.xml><?xml version="1.0" encoding="utf-8"?>
<ds:datastoreItem xmlns:ds="http://schemas.openxmlformats.org/officeDocument/2006/customXml" ds:itemID="{630E4814-380E-451C-9823-954B0107C8F7}"/>
</file>

<file path=customXml/itemProps5.xml><?xml version="1.0" encoding="utf-8"?>
<ds:datastoreItem xmlns:ds="http://schemas.openxmlformats.org/officeDocument/2006/customXml" ds:itemID="{3445F51B-2B1D-4E20-ABEF-867F8675CEAF}"/>
</file>

<file path=docProps/app.xml><?xml version="1.0" encoding="utf-8"?>
<Properties xmlns="http://schemas.openxmlformats.org/officeDocument/2006/extended-properties" xmlns:vt="http://schemas.openxmlformats.org/officeDocument/2006/docPropsVTypes">
  <Template>Normal</Template>
  <TotalTime>1469</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18</cp:revision>
  <cp:lastPrinted>2015-05-06T13:33:00Z</cp:lastPrinted>
  <dcterms:created xsi:type="dcterms:W3CDTF">2015-03-31T12:12:00Z</dcterms:created>
  <dcterms:modified xsi:type="dcterms:W3CDTF">2015-05-06T13:33:00Z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