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5028BD" w:rsidP="00AC3A8B">
      <w:pPr>
        <w:pStyle w:val="Heading1"/>
        <w:jc w:val="center"/>
      </w:pPr>
      <w:r>
        <w:t>Report HDR-SS-03</w:t>
      </w:r>
      <w:r w:rsidR="001F454A">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721C39">
        <w:t>Chair Burley and Members of the Social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721C39">
        <w:t>Anne Marie Shaw</w:t>
      </w:r>
      <w:r w:rsidR="00F86514">
        <w:t>, Director of Housing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1F454A">
        <w:t>February 11,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721C39">
        <w:rPr>
          <w:rStyle w:val="Strong"/>
        </w:rPr>
        <w:t>Inves</w:t>
      </w:r>
      <w:r w:rsidR="001F454A">
        <w:rPr>
          <w:rStyle w:val="Strong"/>
        </w:rPr>
        <w:t>tment</w:t>
      </w:r>
      <w:r w:rsidR="00DE0F06">
        <w:rPr>
          <w:rStyle w:val="Strong"/>
        </w:rPr>
        <w:t xml:space="preserve"> in Affordable Housing 2014</w:t>
      </w:r>
      <w:r w:rsidR="001F454A">
        <w:rPr>
          <w:rStyle w:val="Strong"/>
        </w:rPr>
        <w:t xml:space="preserve"> Extension</w:t>
      </w:r>
      <w:r w:rsidR="00721C39">
        <w:rPr>
          <w:rStyle w:val="Strong"/>
        </w:rPr>
        <w:t xml:space="preserve"> Program Delivery Plan</w:t>
      </w:r>
    </w:p>
    <w:p w:rsidR="00AC3A8B" w:rsidRDefault="00AC3A8B" w:rsidP="00541713">
      <w:pPr>
        <w:pStyle w:val="NoSpacing"/>
        <w:tabs>
          <w:tab w:val="left" w:pos="1890"/>
        </w:tabs>
        <w:spacing w:line="276" w:lineRule="auto"/>
        <w:ind w:left="1890" w:hanging="1890"/>
      </w:pPr>
      <w:r w:rsidRPr="00FB686F">
        <w:rPr>
          <w:rStyle w:val="Strong"/>
        </w:rPr>
        <w:t>Status</w:t>
      </w:r>
      <w:r w:rsidRPr="00FB686F">
        <w:t>:</w:t>
      </w:r>
      <w:r w:rsidR="00541713" w:rsidRPr="00541713">
        <w:t xml:space="preserve"> </w:t>
      </w:r>
      <w:r w:rsidR="00E45B3A">
        <w:tab/>
        <w:t>Recommendation adopted by Committee as presented per Resolution SSC31-15; Endorsed by County Council March</w:t>
      </w:r>
      <w:r w:rsidR="00C7321D">
        <w:t xml:space="preserve"> 3, 2015 per Resolution CC43-15;</w:t>
      </w:r>
      <w:bookmarkStart w:id="0" w:name="_GoBack"/>
      <w:bookmarkEnd w:id="0"/>
    </w:p>
    <w:p w:rsidR="005C3AE0" w:rsidRPr="00541713" w:rsidRDefault="005C3AE0" w:rsidP="00541713">
      <w:pPr>
        <w:pStyle w:val="NoSpacing"/>
        <w:tabs>
          <w:tab w:val="left" w:pos="1890"/>
        </w:tabs>
        <w:spacing w:line="276" w:lineRule="auto"/>
        <w:ind w:left="1890" w:hanging="1890"/>
        <w:rPr>
          <w:rStyle w:val="Strong"/>
          <w:b w:val="0"/>
          <w:bCs w:val="0"/>
        </w:rPr>
      </w:pPr>
    </w:p>
    <w:p w:rsidR="00AC3A8B" w:rsidRDefault="00AC3A8B" w:rsidP="00AC3A8B">
      <w:pPr>
        <w:pStyle w:val="Heading2"/>
      </w:pPr>
      <w:r w:rsidRPr="00FB686F">
        <w:t>Recommendation(s)</w:t>
      </w:r>
    </w:p>
    <w:p w:rsidR="001F454A" w:rsidRPr="00940462" w:rsidRDefault="001F454A" w:rsidP="00940462">
      <w:pPr>
        <w:rPr>
          <w:b/>
        </w:rPr>
      </w:pPr>
      <w:r w:rsidRPr="00940462">
        <w:rPr>
          <w:b/>
        </w:rPr>
        <w:t xml:space="preserve">WHEREAS the County of Grey has entered into an agreement with the Province to administer the </w:t>
      </w:r>
      <w:r w:rsidR="00DE0F06" w:rsidRPr="00940462">
        <w:rPr>
          <w:b/>
        </w:rPr>
        <w:t>Investment in Affordable Housing</w:t>
      </w:r>
      <w:r w:rsidR="00D431B4" w:rsidRPr="00940462">
        <w:rPr>
          <w:b/>
        </w:rPr>
        <w:t xml:space="preserve"> (IAH)</w:t>
      </w:r>
      <w:r w:rsidRPr="00940462">
        <w:rPr>
          <w:b/>
        </w:rPr>
        <w:t xml:space="preserve"> for Ontario</w:t>
      </w:r>
      <w:r w:rsidR="00DE0F06" w:rsidRPr="00940462">
        <w:rPr>
          <w:b/>
        </w:rPr>
        <w:t xml:space="preserve"> 2014 Extension</w:t>
      </w:r>
      <w:r w:rsidRPr="00940462">
        <w:rPr>
          <w:b/>
        </w:rPr>
        <w:t xml:space="preserve"> Prog</w:t>
      </w:r>
      <w:r w:rsidR="00DE0F06" w:rsidRPr="00940462">
        <w:rPr>
          <w:b/>
        </w:rPr>
        <w:t>ram</w:t>
      </w:r>
      <w:r w:rsidRPr="00940462">
        <w:rPr>
          <w:b/>
        </w:rPr>
        <w:t>;</w:t>
      </w:r>
    </w:p>
    <w:p w:rsidR="00BD7E38" w:rsidRPr="00940462" w:rsidRDefault="001F454A" w:rsidP="00940462">
      <w:pPr>
        <w:rPr>
          <w:b/>
        </w:rPr>
      </w:pPr>
      <w:r w:rsidRPr="00940462">
        <w:rPr>
          <w:b/>
        </w:rPr>
        <w:t>NOW THEREFORE BE IT RESOLVED THAT</w:t>
      </w:r>
      <w:r w:rsidR="00BD7E38" w:rsidRPr="00940462">
        <w:rPr>
          <w:b/>
        </w:rPr>
        <w:t xml:space="preserve"> </w:t>
      </w:r>
      <w:r w:rsidR="00D30027" w:rsidRPr="00940462">
        <w:rPr>
          <w:b/>
        </w:rPr>
        <w:t>R</w:t>
      </w:r>
      <w:r w:rsidR="00BD7E38" w:rsidRPr="00940462">
        <w:rPr>
          <w:b/>
        </w:rPr>
        <w:t>eport HDR-SS-0</w:t>
      </w:r>
      <w:r w:rsidR="00D30027" w:rsidRPr="00940462">
        <w:rPr>
          <w:b/>
        </w:rPr>
        <w:t>3</w:t>
      </w:r>
      <w:r w:rsidR="00BD7E38" w:rsidRPr="00940462">
        <w:rPr>
          <w:b/>
        </w:rPr>
        <w:t xml:space="preserve">-15 </w:t>
      </w:r>
      <w:proofErr w:type="gramStart"/>
      <w:r w:rsidR="00BD7E38" w:rsidRPr="00940462">
        <w:rPr>
          <w:b/>
        </w:rPr>
        <w:t>be</w:t>
      </w:r>
      <w:proofErr w:type="gramEnd"/>
      <w:r w:rsidR="00BD7E38" w:rsidRPr="00940462">
        <w:rPr>
          <w:b/>
        </w:rPr>
        <w:t xml:space="preserve"> received;</w:t>
      </w:r>
    </w:p>
    <w:p w:rsidR="001F454A" w:rsidRPr="00940462" w:rsidRDefault="00BD7E38" w:rsidP="00940462">
      <w:pPr>
        <w:rPr>
          <w:b/>
        </w:rPr>
      </w:pPr>
      <w:r w:rsidRPr="00940462">
        <w:rPr>
          <w:b/>
        </w:rPr>
        <w:t xml:space="preserve">AND THAT </w:t>
      </w:r>
      <w:r w:rsidR="001F454A" w:rsidRPr="00940462">
        <w:rPr>
          <w:b/>
        </w:rPr>
        <w:t>the Program Delivery and Fiscal Plan (PDFP) for the Investment in Affordable Housing</w:t>
      </w:r>
      <w:r w:rsidR="00DE0F06" w:rsidRPr="00940462">
        <w:rPr>
          <w:b/>
        </w:rPr>
        <w:t xml:space="preserve"> for Ontario 2014 Extension</w:t>
      </w:r>
      <w:r w:rsidR="001F454A" w:rsidRPr="00940462">
        <w:rPr>
          <w:b/>
        </w:rPr>
        <w:t xml:space="preserve"> program as required by the signed Investment in Affordable Housing for Ontario </w:t>
      </w:r>
      <w:r w:rsidR="00DE0F06" w:rsidRPr="00940462">
        <w:rPr>
          <w:b/>
        </w:rPr>
        <w:t xml:space="preserve"> 2014 Extension </w:t>
      </w:r>
      <w:r w:rsidR="001F454A" w:rsidRPr="00940462">
        <w:rPr>
          <w:b/>
        </w:rPr>
        <w:t>Agreem</w:t>
      </w:r>
      <w:r w:rsidR="00D431B4" w:rsidRPr="00940462">
        <w:rPr>
          <w:b/>
        </w:rPr>
        <w:t>ent, by law 4871-14</w:t>
      </w:r>
      <w:r w:rsidR="001F454A" w:rsidRPr="00940462">
        <w:rPr>
          <w:b/>
        </w:rPr>
        <w:t xml:space="preserve"> and as recommended by staff be approved; </w:t>
      </w:r>
    </w:p>
    <w:p w:rsidR="005C3AE0" w:rsidRPr="00940462" w:rsidRDefault="00DE0F06" w:rsidP="00940462">
      <w:pPr>
        <w:rPr>
          <w:b/>
        </w:rPr>
      </w:pPr>
      <w:r w:rsidRPr="00940462">
        <w:rPr>
          <w:b/>
        </w:rPr>
        <w:t>AND THAT the $4,060,700 in funding over</w:t>
      </w:r>
      <w:r w:rsidR="00BD7E38" w:rsidRPr="00940462">
        <w:rPr>
          <w:b/>
        </w:rPr>
        <w:t xml:space="preserve"> the remaining</w:t>
      </w:r>
      <w:r w:rsidRPr="00940462">
        <w:rPr>
          <w:b/>
        </w:rPr>
        <w:t xml:space="preserve"> five</w:t>
      </w:r>
      <w:r w:rsidR="001F454A" w:rsidRPr="00940462">
        <w:rPr>
          <w:b/>
        </w:rPr>
        <w:t xml:space="preserve"> years be added to the Housing Department budget for the Investment in Affordable Housing</w:t>
      </w:r>
      <w:r w:rsidRPr="00940462">
        <w:rPr>
          <w:b/>
        </w:rPr>
        <w:t xml:space="preserve"> </w:t>
      </w:r>
      <w:r w:rsidR="005C3AE0" w:rsidRPr="00940462">
        <w:rPr>
          <w:b/>
        </w:rPr>
        <w:t>2014 Extension Program; $908</w:t>
      </w:r>
      <w:proofErr w:type="gramStart"/>
      <w:r w:rsidR="005C3AE0" w:rsidRPr="00940462">
        <w:rPr>
          <w:b/>
        </w:rPr>
        <w:t>,60</w:t>
      </w:r>
      <w:proofErr w:type="gramEnd"/>
      <w:r w:rsidR="005C3AE0" w:rsidRPr="00940462">
        <w:rPr>
          <w:b/>
        </w:rPr>
        <w:t xml:space="preserve"> for</w:t>
      </w:r>
      <w:r w:rsidR="001F454A" w:rsidRPr="00940462">
        <w:rPr>
          <w:b/>
        </w:rPr>
        <w:t xml:space="preserve"> 201</w:t>
      </w:r>
      <w:r w:rsidR="005C3AE0" w:rsidRPr="00940462">
        <w:rPr>
          <w:b/>
        </w:rPr>
        <w:t>5, $908,000 for</w:t>
      </w:r>
      <w:r w:rsidRPr="00940462">
        <w:rPr>
          <w:b/>
        </w:rPr>
        <w:t xml:space="preserve"> 2016, $907</w:t>
      </w:r>
      <w:r w:rsidR="005C3AE0" w:rsidRPr="00940462">
        <w:rPr>
          <w:b/>
        </w:rPr>
        <w:t>,400 for 2017, $905,200 for 2018 and $431,500 for</w:t>
      </w:r>
      <w:r w:rsidRPr="00940462">
        <w:rPr>
          <w:b/>
        </w:rPr>
        <w:t xml:space="preserve"> 2019</w:t>
      </w:r>
      <w:r w:rsidR="00D431B4" w:rsidRPr="00940462">
        <w:rPr>
          <w:b/>
        </w:rPr>
        <w:t xml:space="preserve"> to be expensed according to program guidelines</w:t>
      </w:r>
      <w:r w:rsidR="001F454A" w:rsidRPr="00940462">
        <w:rPr>
          <w:b/>
        </w:rPr>
        <w:t>.</w:t>
      </w:r>
    </w:p>
    <w:p w:rsidR="005C3AE0" w:rsidRDefault="005C3AE0" w:rsidP="00940462">
      <w:r w:rsidRPr="00940462">
        <w:rPr>
          <w:b/>
        </w:rPr>
        <w:t xml:space="preserve">AND THAT the following program amounts for 2015 </w:t>
      </w:r>
      <w:proofErr w:type="gramStart"/>
      <w:r w:rsidRPr="00940462">
        <w:rPr>
          <w:b/>
        </w:rPr>
        <w:t>be</w:t>
      </w:r>
      <w:proofErr w:type="gramEnd"/>
      <w:r w:rsidRPr="00940462">
        <w:rPr>
          <w:b/>
        </w:rPr>
        <w:t xml:space="preserve"> revised in the 2015 budget:</w:t>
      </w:r>
    </w:p>
    <w:p w:rsidR="005C3AE0" w:rsidRPr="00940462" w:rsidRDefault="005C3AE0" w:rsidP="00940462">
      <w:pPr>
        <w:pStyle w:val="ListParagraph"/>
        <w:numPr>
          <w:ilvl w:val="0"/>
          <w:numId w:val="3"/>
        </w:numPr>
        <w:rPr>
          <w:b/>
        </w:rPr>
      </w:pPr>
      <w:r w:rsidRPr="00940462">
        <w:rPr>
          <w:b/>
        </w:rPr>
        <w:t>Homeownership</w:t>
      </w:r>
      <w:r w:rsidRPr="00940462">
        <w:rPr>
          <w:b/>
        </w:rPr>
        <w:tab/>
      </w:r>
      <w:r w:rsidRPr="00940462">
        <w:rPr>
          <w:b/>
        </w:rPr>
        <w:tab/>
        <w:t>$154,000</w:t>
      </w:r>
    </w:p>
    <w:p w:rsidR="005C3AE0" w:rsidRPr="00940462" w:rsidRDefault="005C3AE0" w:rsidP="00940462">
      <w:pPr>
        <w:pStyle w:val="ListParagraph"/>
        <w:numPr>
          <w:ilvl w:val="0"/>
          <w:numId w:val="3"/>
        </w:numPr>
        <w:rPr>
          <w:b/>
        </w:rPr>
      </w:pPr>
      <w:r w:rsidRPr="00940462">
        <w:rPr>
          <w:b/>
        </w:rPr>
        <w:t>Rent Supplement</w:t>
      </w:r>
      <w:r w:rsidRPr="00940462">
        <w:rPr>
          <w:b/>
        </w:rPr>
        <w:tab/>
      </w:r>
      <w:r w:rsidRPr="00940462">
        <w:rPr>
          <w:b/>
        </w:rPr>
        <w:tab/>
        <w:t>$216,000</w:t>
      </w:r>
    </w:p>
    <w:p w:rsidR="005C3AE0" w:rsidRPr="00940462" w:rsidRDefault="005C3AE0" w:rsidP="00940462">
      <w:pPr>
        <w:pStyle w:val="ListParagraph"/>
        <w:numPr>
          <w:ilvl w:val="0"/>
          <w:numId w:val="3"/>
        </w:numPr>
        <w:rPr>
          <w:b/>
        </w:rPr>
      </w:pPr>
      <w:r w:rsidRPr="00940462">
        <w:rPr>
          <w:b/>
        </w:rPr>
        <w:t>Ontario Renovates</w:t>
      </w:r>
      <w:r w:rsidRPr="00940462">
        <w:rPr>
          <w:b/>
        </w:rPr>
        <w:tab/>
      </w:r>
      <w:r w:rsidRPr="00940462">
        <w:rPr>
          <w:b/>
        </w:rPr>
        <w:tab/>
        <w:t>$493,170</w:t>
      </w:r>
    </w:p>
    <w:p w:rsidR="005C3AE0" w:rsidRPr="005C3AE0" w:rsidRDefault="005C3AE0" w:rsidP="00940462">
      <w:pPr>
        <w:pStyle w:val="ListParagraph"/>
        <w:numPr>
          <w:ilvl w:val="0"/>
          <w:numId w:val="3"/>
        </w:numPr>
      </w:pPr>
      <w:r w:rsidRPr="00940462">
        <w:rPr>
          <w:b/>
        </w:rPr>
        <w:t>Administration</w:t>
      </w:r>
      <w:r w:rsidRPr="00940462">
        <w:rPr>
          <w:b/>
        </w:rPr>
        <w:tab/>
      </w:r>
      <w:r w:rsidRPr="00940462">
        <w:rPr>
          <w:b/>
        </w:rPr>
        <w:tab/>
        <w:t>$ 45,430</w:t>
      </w:r>
    </w:p>
    <w:p w:rsidR="00721C39" w:rsidRPr="00295810" w:rsidRDefault="00AC3A8B" w:rsidP="00295810">
      <w:pPr>
        <w:pStyle w:val="Heading2"/>
      </w:pPr>
      <w:r w:rsidRPr="00B0378D">
        <w:lastRenderedPageBreak/>
        <w:t>Background</w:t>
      </w:r>
    </w:p>
    <w:p w:rsidR="00AC3A8B" w:rsidRDefault="00721C39" w:rsidP="00AC3A8B">
      <w:pPr>
        <w:rPr>
          <w:rFonts w:cs="Arial"/>
        </w:rPr>
      </w:pPr>
      <w:r w:rsidRPr="00200DD4">
        <w:rPr>
          <w:rFonts w:cs="Arial"/>
        </w:rPr>
        <w:t>The Investment in Affordable Housing for Ontario</w:t>
      </w:r>
      <w:r w:rsidR="00BD7E38">
        <w:rPr>
          <w:rFonts w:cs="Arial"/>
        </w:rPr>
        <w:t xml:space="preserve"> 2014 Extension</w:t>
      </w:r>
      <w:r w:rsidRPr="00200DD4">
        <w:rPr>
          <w:rFonts w:cs="Arial"/>
        </w:rPr>
        <w:t xml:space="preserve"> program (IAH) is a federal and provincial program to provide funding for the creation and re</w:t>
      </w:r>
      <w:r w:rsidR="00200DD4">
        <w:rPr>
          <w:rFonts w:cs="Arial"/>
        </w:rPr>
        <w:t>pair of affordable housing</w:t>
      </w:r>
      <w:r w:rsidRPr="00200DD4">
        <w:rPr>
          <w:rFonts w:cs="Arial"/>
        </w:rPr>
        <w:t>. The IAH</w:t>
      </w:r>
      <w:r w:rsidR="00D41265">
        <w:rPr>
          <w:rFonts w:cs="Arial"/>
        </w:rPr>
        <w:t xml:space="preserve"> (2014 Extension)</w:t>
      </w:r>
      <w:r w:rsidRPr="00200DD4">
        <w:rPr>
          <w:rFonts w:cs="Arial"/>
        </w:rPr>
        <w:t xml:space="preserve"> is based on the principles of Ontario’s Long-Term Affordable Housing Strategy and is a continuation of the Canada-Ontario Affordable Housing Program (AHP</w:t>
      </w:r>
      <w:r w:rsidR="00200DD4">
        <w:rPr>
          <w:rFonts w:cs="Arial"/>
        </w:rPr>
        <w:t xml:space="preserve">). The </w:t>
      </w:r>
      <w:r w:rsidR="00295810">
        <w:rPr>
          <w:rFonts w:cs="Arial"/>
        </w:rPr>
        <w:t xml:space="preserve">IAH </w:t>
      </w:r>
      <w:r w:rsidR="00200DD4">
        <w:rPr>
          <w:rFonts w:cs="Arial"/>
        </w:rPr>
        <w:t xml:space="preserve">Program originally began in 2011 and has now been </w:t>
      </w:r>
      <w:r w:rsidR="00AD02AB">
        <w:rPr>
          <w:rFonts w:cs="Arial"/>
        </w:rPr>
        <w:t>extended until</w:t>
      </w:r>
      <w:r w:rsidR="00626F82">
        <w:rPr>
          <w:rFonts w:cs="Arial"/>
        </w:rPr>
        <w:t xml:space="preserve"> March 31, 2020 with six</w:t>
      </w:r>
      <w:r w:rsidR="00FD7D69">
        <w:rPr>
          <w:rFonts w:cs="Arial"/>
        </w:rPr>
        <w:t xml:space="preserve"> more ye</w:t>
      </w:r>
      <w:r w:rsidR="00BD7E38">
        <w:rPr>
          <w:rFonts w:cs="Arial"/>
        </w:rPr>
        <w:t>ars of funding. The Province previously</w:t>
      </w:r>
      <w:r w:rsidR="00FD7D69">
        <w:rPr>
          <w:rFonts w:cs="Arial"/>
        </w:rPr>
        <w:t xml:space="preserve"> released </w:t>
      </w:r>
      <w:r w:rsidR="00BE14CB">
        <w:rPr>
          <w:rFonts w:cs="Arial"/>
        </w:rPr>
        <w:t>Grey County’s</w:t>
      </w:r>
      <w:r w:rsidR="00FD7D69">
        <w:rPr>
          <w:rFonts w:cs="Arial"/>
        </w:rPr>
        <w:t xml:space="preserve"> first year notional allocation under the IAH in the amount of $519,100. The</w:t>
      </w:r>
      <w:r w:rsidR="00BD7E38">
        <w:rPr>
          <w:rFonts w:cs="Arial"/>
        </w:rPr>
        <w:t xml:space="preserve"> remaining</w:t>
      </w:r>
      <w:r w:rsidR="00FD7D69">
        <w:rPr>
          <w:rFonts w:cs="Arial"/>
        </w:rPr>
        <w:t xml:space="preserve"> </w:t>
      </w:r>
      <w:r w:rsidR="00BD7E38">
        <w:rPr>
          <w:rFonts w:cs="Arial"/>
        </w:rPr>
        <w:t>allocation for the final five years of the program of $4,030,700 has been allocated to Grey County and</w:t>
      </w:r>
      <w:r w:rsidR="00E244E6">
        <w:rPr>
          <w:rFonts w:cs="Arial"/>
        </w:rPr>
        <w:t xml:space="preserve"> requires </w:t>
      </w:r>
      <w:r w:rsidR="00BD7E38">
        <w:rPr>
          <w:rFonts w:cs="Arial"/>
        </w:rPr>
        <w:t>a Program Delivery and Fiscal Plan.</w:t>
      </w:r>
      <w:r w:rsidR="00FD7D69">
        <w:rPr>
          <w:rFonts w:cs="Arial"/>
        </w:rPr>
        <w:t xml:space="preserve"> </w:t>
      </w:r>
    </w:p>
    <w:p w:rsidR="00AC3A8B" w:rsidRPr="00200DD4" w:rsidRDefault="00295810" w:rsidP="00295810">
      <w:pPr>
        <w:pStyle w:val="Heading2"/>
      </w:pPr>
      <w:r>
        <w:t>Service Delivery Plan</w:t>
      </w:r>
    </w:p>
    <w:p w:rsidR="00BD7E38" w:rsidRDefault="00721C39" w:rsidP="00497675">
      <w:r w:rsidRPr="00200DD4">
        <w:t xml:space="preserve">Service Managers have been given local flexibility to deliver program components that meet local needs and priorities. </w:t>
      </w:r>
      <w:r w:rsidR="009C460E">
        <w:t>In p</w:t>
      </w:r>
      <w:r w:rsidR="00DD7A99">
        <w:t>revious years of the IAH</w:t>
      </w:r>
      <w:r w:rsidR="009C460E">
        <w:t xml:space="preserve"> program</w:t>
      </w:r>
      <w:r w:rsidR="00BE14CB">
        <w:t>,</w:t>
      </w:r>
      <w:r w:rsidR="009C460E">
        <w:t xml:space="preserve"> the Homeownership, Ontario Renovates and Rent Supplement programs have been popular and provided the necessary options for repairing, obtaining or maintaining housing for residents of Grey County. </w:t>
      </w:r>
    </w:p>
    <w:p w:rsidR="006B05ED" w:rsidRDefault="00BD7E38" w:rsidP="00497675">
      <w:r>
        <w:t>The Rental Housing Program component provides funding to increase the supply of rental housing by providing funding to eligible build projects for safe, adequate and a</w:t>
      </w:r>
      <w:r w:rsidR="00A149C7">
        <w:t>ffordable rental housing. Throughout the next five years</w:t>
      </w:r>
      <w:r w:rsidR="006B05ED">
        <w:t xml:space="preserve"> there may be opportunity to support a small number of new affordable units in Grey County</w:t>
      </w:r>
      <w:r w:rsidR="00A149C7">
        <w:t xml:space="preserve"> through this program</w:t>
      </w:r>
      <w:r w:rsidR="006B05ED">
        <w:t xml:space="preserve">. The role of the Service Manager is to solicit proposals and select rental housing projects to recommend to the Ministry for funding approval. </w:t>
      </w:r>
    </w:p>
    <w:p w:rsidR="00E45B3A" w:rsidRDefault="00721C39" w:rsidP="005C3AE0">
      <w:r w:rsidRPr="00200DD4">
        <w:t>The following programs</w:t>
      </w:r>
      <w:r w:rsidR="006B05ED">
        <w:t xml:space="preserve"> and allocations</w:t>
      </w:r>
      <w:r w:rsidRPr="00200DD4">
        <w:t xml:space="preserve"> are proposed</w:t>
      </w:r>
      <w:r w:rsidR="009C460E">
        <w:t xml:space="preserve"> for </w:t>
      </w:r>
      <w:r w:rsidR="006B05ED">
        <w:t>2015-2019</w:t>
      </w:r>
      <w:r w:rsidRPr="00200DD4">
        <w:t xml:space="preserve"> to meet local needs and provide optimum usage of Grey County’s allocation</w:t>
      </w:r>
      <w:r w:rsidR="005E5F7C">
        <w:t xml:space="preserve"> and provide access to approximately 200 units of affordable housing over the next five years.</w:t>
      </w:r>
      <w:r w:rsidR="005C3AE0">
        <w:t xml:space="preserve"> There is flexibility to move funding from program to program.</w:t>
      </w:r>
    </w:p>
    <w:p w:rsidR="00E45B3A" w:rsidRDefault="00E45B3A" w:rsidP="00E45B3A">
      <w:r>
        <w:br w:type="page"/>
      </w:r>
    </w:p>
    <w:p w:rsidR="005C3AE0" w:rsidRPr="005C3AE0" w:rsidRDefault="00E45B3A" w:rsidP="005C3AE0">
      <w:r w:rsidRPr="005C3AE0">
        <w:lastRenderedPageBreak/>
        <w:t xml:space="preserve"> </w:t>
      </w:r>
    </w:p>
    <w:p w:rsidR="00BE14CB" w:rsidRDefault="00BE14CB" w:rsidP="00BE14CB">
      <w:pPr>
        <w:pStyle w:val="Heading3"/>
      </w:pPr>
      <w:r>
        <w:t>Investment in Affordable Housing Service Delivery Plan</w:t>
      </w:r>
    </w:p>
    <w:tbl>
      <w:tblPr>
        <w:tblStyle w:val="TableGrid"/>
        <w:tblW w:w="9630" w:type="dxa"/>
        <w:jc w:val="center"/>
        <w:tblInd w:w="-432" w:type="dxa"/>
        <w:tblLayout w:type="fixed"/>
        <w:tblLook w:val="0480" w:firstRow="0" w:lastRow="0" w:firstColumn="1" w:lastColumn="0" w:noHBand="0" w:noVBand="1"/>
        <w:tblCaption w:val="Service Delivery Plan"/>
        <w:tblDescription w:val="describes amount of funding for each component of the IAH Program"/>
      </w:tblPr>
      <w:tblGrid>
        <w:gridCol w:w="3191"/>
        <w:gridCol w:w="1287"/>
        <w:gridCol w:w="1288"/>
        <w:gridCol w:w="1288"/>
        <w:gridCol w:w="1288"/>
        <w:gridCol w:w="1288"/>
      </w:tblGrid>
      <w:tr w:rsidR="006B05ED" w:rsidRPr="003129AA" w:rsidTr="00FF42B7">
        <w:trPr>
          <w:trHeight w:val="512"/>
          <w:tblHeader/>
          <w:jc w:val="center"/>
        </w:trPr>
        <w:tc>
          <w:tcPr>
            <w:tcW w:w="3191" w:type="dxa"/>
            <w:shd w:val="clear" w:color="auto" w:fill="98005D"/>
            <w:vAlign w:val="center"/>
          </w:tcPr>
          <w:p w:rsidR="006B05ED" w:rsidRPr="006C26E2" w:rsidRDefault="006B05ED" w:rsidP="00FF42B7">
            <w:pPr>
              <w:jc w:val="center"/>
              <w:outlineLvl w:val="0"/>
              <w:rPr>
                <w:rFonts w:ascii="Arial" w:hAnsi="Arial" w:cs="Arial"/>
              </w:rPr>
            </w:pPr>
            <w:r>
              <w:rPr>
                <w:rFonts w:ascii="Arial" w:hAnsi="Arial" w:cs="Arial"/>
              </w:rPr>
              <w:t>Program</w:t>
            </w:r>
          </w:p>
        </w:tc>
        <w:tc>
          <w:tcPr>
            <w:tcW w:w="1287" w:type="dxa"/>
            <w:shd w:val="clear" w:color="auto" w:fill="98005D"/>
            <w:vAlign w:val="center"/>
          </w:tcPr>
          <w:p w:rsidR="006B05ED" w:rsidRPr="006C26E2" w:rsidRDefault="006B05ED" w:rsidP="00FF42B7">
            <w:pPr>
              <w:jc w:val="center"/>
              <w:outlineLvl w:val="0"/>
              <w:rPr>
                <w:rFonts w:ascii="Arial" w:hAnsi="Arial" w:cs="Arial"/>
              </w:rPr>
            </w:pPr>
            <w:r>
              <w:rPr>
                <w:rFonts w:ascii="Arial" w:hAnsi="Arial" w:cs="Arial"/>
              </w:rPr>
              <w:t>2015</w:t>
            </w:r>
          </w:p>
        </w:tc>
        <w:tc>
          <w:tcPr>
            <w:tcW w:w="1288" w:type="dxa"/>
            <w:shd w:val="clear" w:color="auto" w:fill="98005D"/>
            <w:vAlign w:val="center"/>
          </w:tcPr>
          <w:p w:rsidR="006B05ED" w:rsidRPr="006C26E2" w:rsidRDefault="006B05ED" w:rsidP="00FF42B7">
            <w:pPr>
              <w:jc w:val="center"/>
              <w:outlineLvl w:val="0"/>
              <w:rPr>
                <w:rFonts w:ascii="Arial" w:hAnsi="Arial" w:cs="Arial"/>
              </w:rPr>
            </w:pPr>
            <w:r>
              <w:rPr>
                <w:rFonts w:ascii="Arial" w:hAnsi="Arial" w:cs="Arial"/>
              </w:rPr>
              <w:t>2016</w:t>
            </w:r>
          </w:p>
        </w:tc>
        <w:tc>
          <w:tcPr>
            <w:tcW w:w="1288" w:type="dxa"/>
            <w:shd w:val="clear" w:color="auto" w:fill="98005D"/>
            <w:vAlign w:val="center"/>
          </w:tcPr>
          <w:p w:rsidR="006B05ED" w:rsidRDefault="006B05ED" w:rsidP="00FF42B7">
            <w:pPr>
              <w:jc w:val="center"/>
              <w:outlineLvl w:val="0"/>
              <w:rPr>
                <w:rFonts w:ascii="Arial" w:hAnsi="Arial" w:cs="Arial"/>
              </w:rPr>
            </w:pPr>
            <w:r>
              <w:rPr>
                <w:rFonts w:ascii="Arial" w:hAnsi="Arial" w:cs="Arial"/>
              </w:rPr>
              <w:t>2017</w:t>
            </w:r>
          </w:p>
        </w:tc>
        <w:tc>
          <w:tcPr>
            <w:tcW w:w="1288" w:type="dxa"/>
            <w:shd w:val="clear" w:color="auto" w:fill="98005D"/>
            <w:vAlign w:val="center"/>
          </w:tcPr>
          <w:p w:rsidR="006B05ED" w:rsidRDefault="006B05ED" w:rsidP="00FF42B7">
            <w:pPr>
              <w:jc w:val="center"/>
              <w:outlineLvl w:val="0"/>
              <w:rPr>
                <w:rFonts w:ascii="Arial" w:hAnsi="Arial" w:cs="Arial"/>
              </w:rPr>
            </w:pPr>
            <w:r>
              <w:rPr>
                <w:rFonts w:ascii="Arial" w:hAnsi="Arial" w:cs="Arial"/>
              </w:rPr>
              <w:t>2018</w:t>
            </w:r>
          </w:p>
        </w:tc>
        <w:tc>
          <w:tcPr>
            <w:tcW w:w="1288" w:type="dxa"/>
            <w:shd w:val="clear" w:color="auto" w:fill="98005D"/>
            <w:vAlign w:val="center"/>
          </w:tcPr>
          <w:p w:rsidR="006B05ED" w:rsidRDefault="006B05ED" w:rsidP="00FF42B7">
            <w:pPr>
              <w:jc w:val="center"/>
              <w:outlineLvl w:val="0"/>
              <w:rPr>
                <w:rFonts w:ascii="Arial" w:hAnsi="Arial" w:cs="Arial"/>
              </w:rPr>
            </w:pPr>
            <w:r>
              <w:rPr>
                <w:rFonts w:ascii="Arial" w:hAnsi="Arial" w:cs="Arial"/>
              </w:rPr>
              <w:t>2019</w:t>
            </w:r>
          </w:p>
        </w:tc>
      </w:tr>
      <w:tr w:rsidR="006B05ED" w:rsidRPr="003129AA" w:rsidTr="00FF42B7">
        <w:trPr>
          <w:trHeight w:val="512"/>
          <w:jc w:val="center"/>
        </w:trPr>
        <w:tc>
          <w:tcPr>
            <w:tcW w:w="3191" w:type="dxa"/>
            <w:shd w:val="clear" w:color="auto" w:fill="F2F2F2" w:themeFill="background1" w:themeFillShade="F2"/>
            <w:vAlign w:val="center"/>
          </w:tcPr>
          <w:p w:rsidR="006B05ED" w:rsidRPr="00BE14CB" w:rsidRDefault="006B05ED" w:rsidP="00BE14CB">
            <w:pPr>
              <w:outlineLvl w:val="0"/>
              <w:rPr>
                <w:rFonts w:ascii="Arial" w:hAnsi="Arial" w:cs="Arial"/>
              </w:rPr>
            </w:pPr>
            <w:r w:rsidRPr="00BE14CB">
              <w:rPr>
                <w:rFonts w:ascii="Arial" w:hAnsi="Arial" w:cs="Arial"/>
              </w:rPr>
              <w:t>Rent Supplement Program</w:t>
            </w:r>
          </w:p>
        </w:tc>
        <w:tc>
          <w:tcPr>
            <w:tcW w:w="1287" w:type="dxa"/>
            <w:vAlign w:val="center"/>
          </w:tcPr>
          <w:p w:rsidR="006B05ED" w:rsidRPr="00BE14CB" w:rsidRDefault="00D41265" w:rsidP="00FF42B7">
            <w:pPr>
              <w:jc w:val="right"/>
              <w:outlineLvl w:val="0"/>
              <w:rPr>
                <w:rFonts w:ascii="Arial" w:hAnsi="Arial" w:cs="Arial"/>
              </w:rPr>
            </w:pPr>
            <w:r>
              <w:rPr>
                <w:rFonts w:ascii="Arial" w:hAnsi="Arial" w:cs="Arial"/>
              </w:rPr>
              <w:t>216,000</w:t>
            </w:r>
          </w:p>
        </w:tc>
        <w:tc>
          <w:tcPr>
            <w:tcW w:w="1288" w:type="dxa"/>
            <w:vAlign w:val="center"/>
          </w:tcPr>
          <w:p w:rsidR="006B05ED" w:rsidRPr="00BE14CB" w:rsidRDefault="006B05ED" w:rsidP="00FF42B7">
            <w:pPr>
              <w:jc w:val="right"/>
              <w:outlineLvl w:val="0"/>
              <w:rPr>
                <w:rFonts w:ascii="Arial" w:hAnsi="Arial" w:cs="Arial"/>
              </w:rPr>
            </w:pPr>
          </w:p>
        </w:tc>
        <w:tc>
          <w:tcPr>
            <w:tcW w:w="1288" w:type="dxa"/>
            <w:vAlign w:val="center"/>
          </w:tcPr>
          <w:p w:rsidR="006B05ED" w:rsidRPr="00BE14CB" w:rsidRDefault="006B05ED" w:rsidP="00FF42B7">
            <w:pPr>
              <w:jc w:val="right"/>
              <w:outlineLvl w:val="0"/>
              <w:rPr>
                <w:rFonts w:ascii="Arial" w:hAnsi="Arial" w:cs="Arial"/>
              </w:rPr>
            </w:pP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72,200</w:t>
            </w:r>
          </w:p>
        </w:tc>
        <w:tc>
          <w:tcPr>
            <w:tcW w:w="1288" w:type="dxa"/>
            <w:vAlign w:val="center"/>
          </w:tcPr>
          <w:p w:rsidR="006B05ED" w:rsidRPr="00BE14CB" w:rsidRDefault="006B05ED" w:rsidP="00FF42B7">
            <w:pPr>
              <w:jc w:val="right"/>
              <w:outlineLvl w:val="0"/>
              <w:rPr>
                <w:rFonts w:ascii="Arial" w:hAnsi="Arial" w:cs="Arial"/>
              </w:rPr>
            </w:pPr>
          </w:p>
        </w:tc>
      </w:tr>
      <w:tr w:rsidR="006B05ED" w:rsidRPr="003129AA" w:rsidTr="00FF42B7">
        <w:trPr>
          <w:trHeight w:val="512"/>
          <w:jc w:val="center"/>
        </w:trPr>
        <w:tc>
          <w:tcPr>
            <w:tcW w:w="3191" w:type="dxa"/>
            <w:shd w:val="clear" w:color="auto" w:fill="F2F2F2" w:themeFill="background1" w:themeFillShade="F2"/>
            <w:vAlign w:val="center"/>
          </w:tcPr>
          <w:p w:rsidR="006B05ED" w:rsidRPr="00BE14CB" w:rsidRDefault="006B05ED" w:rsidP="00BE14CB">
            <w:pPr>
              <w:outlineLvl w:val="0"/>
              <w:rPr>
                <w:rFonts w:ascii="Arial" w:hAnsi="Arial" w:cs="Arial"/>
              </w:rPr>
            </w:pPr>
            <w:r w:rsidRPr="00BE14CB">
              <w:rPr>
                <w:rFonts w:ascii="Arial" w:hAnsi="Arial" w:cs="Arial"/>
              </w:rPr>
              <w:t>Ontario Renovates</w:t>
            </w:r>
          </w:p>
        </w:tc>
        <w:tc>
          <w:tcPr>
            <w:tcW w:w="1287" w:type="dxa"/>
            <w:vAlign w:val="center"/>
          </w:tcPr>
          <w:p w:rsidR="006B05ED" w:rsidRPr="00BE14CB" w:rsidRDefault="00721B29" w:rsidP="00FF42B7">
            <w:pPr>
              <w:jc w:val="right"/>
              <w:outlineLvl w:val="0"/>
              <w:rPr>
                <w:rFonts w:ascii="Arial" w:hAnsi="Arial" w:cs="Arial"/>
              </w:rPr>
            </w:pPr>
            <w:r>
              <w:rPr>
                <w:rFonts w:ascii="Arial" w:hAnsi="Arial" w:cs="Arial"/>
              </w:rPr>
              <w:t>293</w:t>
            </w:r>
            <w:r w:rsidR="00D431B4">
              <w:rPr>
                <w:rFonts w:ascii="Arial" w:hAnsi="Arial" w:cs="Arial"/>
              </w:rPr>
              <w:t>,</w:t>
            </w:r>
            <w:r>
              <w:rPr>
                <w:rFonts w:ascii="Arial" w:hAnsi="Arial" w:cs="Arial"/>
              </w:rPr>
              <w:t>170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262,600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212,030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262,740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259,925</w:t>
            </w:r>
          </w:p>
        </w:tc>
      </w:tr>
      <w:tr w:rsidR="00721B29" w:rsidRPr="003129AA" w:rsidTr="00FF42B7">
        <w:trPr>
          <w:trHeight w:val="512"/>
          <w:jc w:val="center"/>
        </w:trPr>
        <w:tc>
          <w:tcPr>
            <w:tcW w:w="3191" w:type="dxa"/>
            <w:shd w:val="clear" w:color="auto" w:fill="F2F2F2" w:themeFill="background1" w:themeFillShade="F2"/>
            <w:vAlign w:val="center"/>
          </w:tcPr>
          <w:p w:rsidR="00721B29" w:rsidRPr="00BE14CB" w:rsidRDefault="00721B29" w:rsidP="00BE14CB">
            <w:pPr>
              <w:outlineLvl w:val="0"/>
              <w:rPr>
                <w:rFonts w:ascii="Arial" w:hAnsi="Arial" w:cs="Arial"/>
              </w:rPr>
            </w:pPr>
            <w:r>
              <w:rPr>
                <w:rFonts w:ascii="Arial" w:hAnsi="Arial" w:cs="Arial"/>
              </w:rPr>
              <w:t>Dom</w:t>
            </w:r>
            <w:r w:rsidR="00D66497">
              <w:rPr>
                <w:rFonts w:ascii="Arial" w:hAnsi="Arial" w:cs="Arial"/>
              </w:rPr>
              <w:t>iciliary</w:t>
            </w:r>
            <w:r>
              <w:rPr>
                <w:rFonts w:ascii="Arial" w:hAnsi="Arial" w:cs="Arial"/>
              </w:rPr>
              <w:t xml:space="preserve"> Hostels</w:t>
            </w:r>
          </w:p>
        </w:tc>
        <w:tc>
          <w:tcPr>
            <w:tcW w:w="1287" w:type="dxa"/>
            <w:vAlign w:val="center"/>
          </w:tcPr>
          <w:p w:rsidR="00721B29" w:rsidRPr="00BE14CB" w:rsidRDefault="00721B29" w:rsidP="00FF42B7">
            <w:pPr>
              <w:jc w:val="right"/>
              <w:outlineLvl w:val="0"/>
              <w:rPr>
                <w:rFonts w:ascii="Arial" w:hAnsi="Arial" w:cs="Arial"/>
              </w:rPr>
            </w:pPr>
            <w:r>
              <w:rPr>
                <w:rFonts w:ascii="Arial" w:hAnsi="Arial" w:cs="Arial"/>
              </w:rPr>
              <w:t>200</w:t>
            </w:r>
            <w:r w:rsidR="00D431B4">
              <w:rPr>
                <w:rFonts w:ascii="Arial" w:hAnsi="Arial" w:cs="Arial"/>
              </w:rPr>
              <w:t>,</w:t>
            </w:r>
            <w:r>
              <w:rPr>
                <w:rFonts w:ascii="Arial" w:hAnsi="Arial" w:cs="Arial"/>
              </w:rPr>
              <w:t>000</w:t>
            </w:r>
          </w:p>
        </w:tc>
        <w:tc>
          <w:tcPr>
            <w:tcW w:w="1288" w:type="dxa"/>
            <w:vAlign w:val="center"/>
          </w:tcPr>
          <w:p w:rsidR="00721B29" w:rsidRPr="00BE14CB" w:rsidRDefault="00721B29" w:rsidP="00FF42B7">
            <w:pPr>
              <w:jc w:val="right"/>
              <w:outlineLvl w:val="0"/>
              <w:rPr>
                <w:rFonts w:ascii="Arial" w:hAnsi="Arial" w:cs="Arial"/>
              </w:rPr>
            </w:pPr>
            <w:r>
              <w:rPr>
                <w:rFonts w:ascii="Arial" w:hAnsi="Arial" w:cs="Arial"/>
              </w:rPr>
              <w:t>50</w:t>
            </w:r>
            <w:r w:rsidR="00D431B4">
              <w:rPr>
                <w:rFonts w:ascii="Arial" w:hAnsi="Arial" w:cs="Arial"/>
              </w:rPr>
              <w:t>,</w:t>
            </w:r>
            <w:r>
              <w:rPr>
                <w:rFonts w:ascii="Arial" w:hAnsi="Arial" w:cs="Arial"/>
              </w:rPr>
              <w:t>000</w:t>
            </w:r>
          </w:p>
        </w:tc>
        <w:tc>
          <w:tcPr>
            <w:tcW w:w="1288" w:type="dxa"/>
            <w:vAlign w:val="center"/>
          </w:tcPr>
          <w:p w:rsidR="00721B29" w:rsidRPr="00BE14CB" w:rsidRDefault="00721B29" w:rsidP="00FF42B7">
            <w:pPr>
              <w:jc w:val="right"/>
              <w:outlineLvl w:val="0"/>
              <w:rPr>
                <w:rFonts w:ascii="Arial" w:hAnsi="Arial" w:cs="Arial"/>
              </w:rPr>
            </w:pPr>
          </w:p>
        </w:tc>
        <w:tc>
          <w:tcPr>
            <w:tcW w:w="1288" w:type="dxa"/>
            <w:vAlign w:val="center"/>
          </w:tcPr>
          <w:p w:rsidR="00721B29" w:rsidRPr="00BE14CB" w:rsidRDefault="00721B29" w:rsidP="00FF42B7">
            <w:pPr>
              <w:jc w:val="right"/>
              <w:outlineLvl w:val="0"/>
              <w:rPr>
                <w:rFonts w:ascii="Arial" w:hAnsi="Arial" w:cs="Arial"/>
              </w:rPr>
            </w:pPr>
          </w:p>
        </w:tc>
        <w:tc>
          <w:tcPr>
            <w:tcW w:w="1288" w:type="dxa"/>
            <w:vAlign w:val="center"/>
          </w:tcPr>
          <w:p w:rsidR="00721B29" w:rsidRPr="00BE14CB" w:rsidRDefault="00721B29" w:rsidP="00FF42B7">
            <w:pPr>
              <w:jc w:val="right"/>
              <w:outlineLvl w:val="0"/>
              <w:rPr>
                <w:rFonts w:ascii="Arial" w:hAnsi="Arial" w:cs="Arial"/>
              </w:rPr>
            </w:pPr>
          </w:p>
        </w:tc>
      </w:tr>
      <w:tr w:rsidR="006B05ED" w:rsidRPr="003129AA" w:rsidTr="00FF42B7">
        <w:trPr>
          <w:trHeight w:val="512"/>
          <w:jc w:val="center"/>
        </w:trPr>
        <w:tc>
          <w:tcPr>
            <w:tcW w:w="3191" w:type="dxa"/>
            <w:shd w:val="clear" w:color="auto" w:fill="F2F2F2" w:themeFill="background1" w:themeFillShade="F2"/>
            <w:vAlign w:val="center"/>
          </w:tcPr>
          <w:p w:rsidR="006B05ED" w:rsidRPr="00BE14CB" w:rsidRDefault="006B05ED" w:rsidP="00BE14CB">
            <w:pPr>
              <w:outlineLvl w:val="0"/>
              <w:rPr>
                <w:rFonts w:ascii="Arial" w:hAnsi="Arial" w:cs="Arial"/>
              </w:rPr>
            </w:pPr>
            <w:r w:rsidRPr="00BE14CB">
              <w:rPr>
                <w:rFonts w:ascii="Arial" w:hAnsi="Arial" w:cs="Arial"/>
              </w:rPr>
              <w:t>Homeownership</w:t>
            </w:r>
          </w:p>
        </w:tc>
        <w:tc>
          <w:tcPr>
            <w:tcW w:w="1287" w:type="dxa"/>
            <w:vAlign w:val="center"/>
          </w:tcPr>
          <w:p w:rsidR="006B05ED" w:rsidRPr="00BE14CB" w:rsidRDefault="00D41265" w:rsidP="00FF42B7">
            <w:pPr>
              <w:jc w:val="right"/>
              <w:outlineLvl w:val="0"/>
              <w:rPr>
                <w:rFonts w:ascii="Arial" w:hAnsi="Arial" w:cs="Arial"/>
              </w:rPr>
            </w:pPr>
            <w:r>
              <w:rPr>
                <w:rFonts w:ascii="Arial" w:hAnsi="Arial" w:cs="Arial"/>
              </w:rPr>
              <w:t>154,000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150,000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150,000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150,000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150,000</w:t>
            </w:r>
          </w:p>
        </w:tc>
      </w:tr>
      <w:tr w:rsidR="006B05ED" w:rsidRPr="003129AA" w:rsidTr="00FF42B7">
        <w:trPr>
          <w:trHeight w:val="512"/>
          <w:jc w:val="center"/>
        </w:trPr>
        <w:tc>
          <w:tcPr>
            <w:tcW w:w="3191" w:type="dxa"/>
            <w:shd w:val="clear" w:color="auto" w:fill="F2F2F2" w:themeFill="background1" w:themeFillShade="F2"/>
            <w:vAlign w:val="center"/>
          </w:tcPr>
          <w:p w:rsidR="006B05ED" w:rsidRPr="00BE14CB" w:rsidRDefault="006B05ED" w:rsidP="00BE14CB">
            <w:pPr>
              <w:outlineLvl w:val="0"/>
              <w:rPr>
                <w:rFonts w:ascii="Arial" w:hAnsi="Arial" w:cs="Arial"/>
              </w:rPr>
            </w:pPr>
            <w:r>
              <w:rPr>
                <w:rFonts w:ascii="Arial" w:hAnsi="Arial" w:cs="Arial"/>
              </w:rPr>
              <w:t>Rental Housing</w:t>
            </w:r>
          </w:p>
        </w:tc>
        <w:tc>
          <w:tcPr>
            <w:tcW w:w="1287" w:type="dxa"/>
            <w:vAlign w:val="center"/>
          </w:tcPr>
          <w:p w:rsidR="006B05ED" w:rsidRPr="00BE14CB" w:rsidRDefault="006B05ED" w:rsidP="00FF42B7">
            <w:pPr>
              <w:jc w:val="right"/>
              <w:outlineLvl w:val="0"/>
              <w:rPr>
                <w:rFonts w:ascii="Arial" w:hAnsi="Arial" w:cs="Arial"/>
              </w:rPr>
            </w:pP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400,000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500,000</w:t>
            </w:r>
          </w:p>
        </w:tc>
        <w:tc>
          <w:tcPr>
            <w:tcW w:w="1288" w:type="dxa"/>
            <w:vAlign w:val="center"/>
          </w:tcPr>
          <w:p w:rsidR="006B05ED" w:rsidRPr="00BE14CB" w:rsidRDefault="00FF42B7" w:rsidP="00FF42B7">
            <w:pPr>
              <w:jc w:val="right"/>
              <w:outlineLvl w:val="0"/>
              <w:rPr>
                <w:rFonts w:ascii="Arial" w:hAnsi="Arial" w:cs="Arial"/>
              </w:rPr>
            </w:pPr>
            <w:r>
              <w:rPr>
                <w:rFonts w:ascii="Arial" w:hAnsi="Arial" w:cs="Arial"/>
              </w:rPr>
              <w:t>375,000</w:t>
            </w:r>
          </w:p>
        </w:tc>
        <w:tc>
          <w:tcPr>
            <w:tcW w:w="1288" w:type="dxa"/>
            <w:vAlign w:val="center"/>
          </w:tcPr>
          <w:p w:rsidR="006B05ED" w:rsidRPr="00BE14CB" w:rsidRDefault="006B05ED" w:rsidP="00FF42B7">
            <w:pPr>
              <w:jc w:val="right"/>
              <w:outlineLvl w:val="0"/>
              <w:rPr>
                <w:rFonts w:ascii="Arial" w:hAnsi="Arial" w:cs="Arial"/>
              </w:rPr>
            </w:pPr>
          </w:p>
        </w:tc>
      </w:tr>
      <w:tr w:rsidR="006B05ED" w:rsidRPr="003129AA" w:rsidTr="00FF42B7">
        <w:trPr>
          <w:trHeight w:val="512"/>
          <w:jc w:val="center"/>
        </w:trPr>
        <w:tc>
          <w:tcPr>
            <w:tcW w:w="3191" w:type="dxa"/>
            <w:shd w:val="clear" w:color="auto" w:fill="F2F2F2" w:themeFill="background1" w:themeFillShade="F2"/>
            <w:vAlign w:val="center"/>
          </w:tcPr>
          <w:p w:rsidR="006B05ED" w:rsidRPr="00BE14CB" w:rsidRDefault="006B05ED" w:rsidP="00BE14CB">
            <w:pPr>
              <w:outlineLvl w:val="0"/>
              <w:rPr>
                <w:rFonts w:ascii="Arial" w:hAnsi="Arial" w:cs="Arial"/>
              </w:rPr>
            </w:pPr>
            <w:r w:rsidRPr="00BE14CB">
              <w:rPr>
                <w:rFonts w:ascii="Arial" w:hAnsi="Arial" w:cs="Arial"/>
              </w:rPr>
              <w:t>Administration Fees</w:t>
            </w:r>
          </w:p>
        </w:tc>
        <w:tc>
          <w:tcPr>
            <w:tcW w:w="1287" w:type="dxa"/>
            <w:vAlign w:val="center"/>
          </w:tcPr>
          <w:p w:rsidR="006B05ED" w:rsidRPr="00BE14CB" w:rsidRDefault="00D41265" w:rsidP="00FF42B7">
            <w:pPr>
              <w:jc w:val="right"/>
              <w:outlineLvl w:val="0"/>
              <w:rPr>
                <w:rFonts w:ascii="Arial" w:hAnsi="Arial" w:cs="Arial"/>
              </w:rPr>
            </w:pPr>
            <w:r>
              <w:rPr>
                <w:rFonts w:ascii="Arial" w:hAnsi="Arial" w:cs="Arial"/>
              </w:rPr>
              <w:t>45,430</w:t>
            </w:r>
          </w:p>
        </w:tc>
        <w:tc>
          <w:tcPr>
            <w:tcW w:w="1288" w:type="dxa"/>
            <w:vAlign w:val="center"/>
          </w:tcPr>
          <w:p w:rsidR="006B05ED" w:rsidRPr="00FF42B7" w:rsidRDefault="00FF42B7" w:rsidP="00FF42B7">
            <w:pPr>
              <w:jc w:val="right"/>
              <w:outlineLvl w:val="0"/>
              <w:rPr>
                <w:rFonts w:ascii="Arial" w:hAnsi="Arial" w:cs="Arial"/>
              </w:rPr>
            </w:pPr>
            <w:r w:rsidRPr="00FF42B7">
              <w:rPr>
                <w:rFonts w:ascii="Arial" w:hAnsi="Arial" w:cs="Arial"/>
              </w:rPr>
              <w:t>45</w:t>
            </w:r>
            <w:r>
              <w:rPr>
                <w:rFonts w:ascii="Arial" w:hAnsi="Arial" w:cs="Arial"/>
              </w:rPr>
              <w:t>,</w:t>
            </w:r>
            <w:r w:rsidRPr="00FF42B7">
              <w:rPr>
                <w:rFonts w:ascii="Arial" w:hAnsi="Arial" w:cs="Arial"/>
              </w:rPr>
              <w:t>400</w:t>
            </w:r>
          </w:p>
        </w:tc>
        <w:tc>
          <w:tcPr>
            <w:tcW w:w="1288" w:type="dxa"/>
            <w:vAlign w:val="center"/>
          </w:tcPr>
          <w:p w:rsidR="006B05ED" w:rsidRPr="00FF42B7" w:rsidRDefault="00FF42B7" w:rsidP="00FF42B7">
            <w:pPr>
              <w:jc w:val="right"/>
              <w:outlineLvl w:val="0"/>
              <w:rPr>
                <w:rFonts w:ascii="Arial" w:hAnsi="Arial" w:cs="Arial"/>
              </w:rPr>
            </w:pPr>
            <w:r w:rsidRPr="00FF42B7">
              <w:rPr>
                <w:rFonts w:ascii="Arial" w:hAnsi="Arial" w:cs="Arial"/>
              </w:rPr>
              <w:t>45</w:t>
            </w:r>
            <w:r>
              <w:rPr>
                <w:rFonts w:ascii="Arial" w:hAnsi="Arial" w:cs="Arial"/>
              </w:rPr>
              <w:t>,</w:t>
            </w:r>
            <w:r w:rsidRPr="00FF42B7">
              <w:rPr>
                <w:rFonts w:ascii="Arial" w:hAnsi="Arial" w:cs="Arial"/>
              </w:rPr>
              <w:t>370</w:t>
            </w:r>
          </w:p>
        </w:tc>
        <w:tc>
          <w:tcPr>
            <w:tcW w:w="1288" w:type="dxa"/>
            <w:vAlign w:val="center"/>
          </w:tcPr>
          <w:p w:rsidR="006B05ED" w:rsidRPr="00FF42B7" w:rsidRDefault="00FF42B7" w:rsidP="00FF42B7">
            <w:pPr>
              <w:jc w:val="right"/>
              <w:outlineLvl w:val="0"/>
              <w:rPr>
                <w:rFonts w:ascii="Arial" w:hAnsi="Arial" w:cs="Arial"/>
              </w:rPr>
            </w:pPr>
            <w:r w:rsidRPr="00FF42B7">
              <w:rPr>
                <w:rFonts w:ascii="Arial" w:hAnsi="Arial" w:cs="Arial"/>
              </w:rPr>
              <w:t>45</w:t>
            </w:r>
            <w:r>
              <w:rPr>
                <w:rFonts w:ascii="Arial" w:hAnsi="Arial" w:cs="Arial"/>
              </w:rPr>
              <w:t>,</w:t>
            </w:r>
            <w:r w:rsidRPr="00FF42B7">
              <w:rPr>
                <w:rFonts w:ascii="Arial" w:hAnsi="Arial" w:cs="Arial"/>
              </w:rPr>
              <w:t>260</w:t>
            </w:r>
          </w:p>
        </w:tc>
        <w:tc>
          <w:tcPr>
            <w:tcW w:w="1288" w:type="dxa"/>
            <w:vAlign w:val="center"/>
          </w:tcPr>
          <w:p w:rsidR="006B05ED" w:rsidRPr="00FF42B7" w:rsidRDefault="00FF42B7" w:rsidP="00FF42B7">
            <w:pPr>
              <w:jc w:val="right"/>
              <w:outlineLvl w:val="0"/>
              <w:rPr>
                <w:rFonts w:ascii="Arial" w:hAnsi="Arial" w:cs="Arial"/>
              </w:rPr>
            </w:pPr>
            <w:r w:rsidRPr="00FF42B7">
              <w:rPr>
                <w:rFonts w:ascii="Arial" w:hAnsi="Arial" w:cs="Arial"/>
              </w:rPr>
              <w:t>21</w:t>
            </w:r>
            <w:r>
              <w:rPr>
                <w:rFonts w:ascii="Arial" w:hAnsi="Arial" w:cs="Arial"/>
              </w:rPr>
              <w:t>,</w:t>
            </w:r>
            <w:r w:rsidRPr="00FF42B7">
              <w:rPr>
                <w:rFonts w:ascii="Arial" w:hAnsi="Arial" w:cs="Arial"/>
              </w:rPr>
              <w:t>575</w:t>
            </w:r>
          </w:p>
        </w:tc>
      </w:tr>
      <w:tr w:rsidR="006B05ED" w:rsidRPr="00BE14CB" w:rsidTr="00FF42B7">
        <w:trPr>
          <w:trHeight w:val="512"/>
          <w:jc w:val="center"/>
        </w:trPr>
        <w:tc>
          <w:tcPr>
            <w:tcW w:w="3191" w:type="dxa"/>
            <w:shd w:val="clear" w:color="auto" w:fill="F2F2F2" w:themeFill="background1" w:themeFillShade="F2"/>
            <w:vAlign w:val="center"/>
          </w:tcPr>
          <w:p w:rsidR="006B05ED" w:rsidRPr="00BE14CB" w:rsidRDefault="006B05ED" w:rsidP="00BE14CB">
            <w:pPr>
              <w:outlineLvl w:val="0"/>
              <w:rPr>
                <w:rFonts w:ascii="Arial" w:hAnsi="Arial" w:cs="Arial"/>
                <w:b/>
              </w:rPr>
            </w:pPr>
            <w:r w:rsidRPr="00BE14CB">
              <w:rPr>
                <w:rFonts w:ascii="Arial" w:hAnsi="Arial" w:cs="Arial"/>
                <w:b/>
              </w:rPr>
              <w:t>Total</w:t>
            </w:r>
          </w:p>
        </w:tc>
        <w:tc>
          <w:tcPr>
            <w:tcW w:w="1287" w:type="dxa"/>
            <w:vAlign w:val="center"/>
          </w:tcPr>
          <w:p w:rsidR="006B05ED" w:rsidRPr="00BE14CB" w:rsidRDefault="006B05ED" w:rsidP="00FF42B7">
            <w:pPr>
              <w:jc w:val="right"/>
              <w:outlineLvl w:val="0"/>
              <w:rPr>
                <w:rFonts w:ascii="Arial" w:hAnsi="Arial" w:cs="Arial"/>
                <w:b/>
              </w:rPr>
            </w:pPr>
            <w:r>
              <w:rPr>
                <w:rFonts w:ascii="Arial" w:hAnsi="Arial" w:cs="Arial"/>
                <w:b/>
              </w:rPr>
              <w:t>$</w:t>
            </w:r>
            <w:r w:rsidR="00D41265">
              <w:rPr>
                <w:rFonts w:ascii="Arial" w:hAnsi="Arial" w:cs="Arial"/>
                <w:b/>
              </w:rPr>
              <w:t>908,600</w:t>
            </w:r>
          </w:p>
        </w:tc>
        <w:tc>
          <w:tcPr>
            <w:tcW w:w="1288" w:type="dxa"/>
            <w:vAlign w:val="center"/>
          </w:tcPr>
          <w:p w:rsidR="006B05ED" w:rsidRPr="00BE14CB" w:rsidRDefault="00FF42B7" w:rsidP="00FF42B7">
            <w:pPr>
              <w:jc w:val="right"/>
              <w:outlineLvl w:val="0"/>
              <w:rPr>
                <w:rFonts w:ascii="Arial" w:hAnsi="Arial" w:cs="Arial"/>
                <w:b/>
              </w:rPr>
            </w:pPr>
            <w:r>
              <w:rPr>
                <w:rFonts w:ascii="Arial" w:hAnsi="Arial" w:cs="Arial"/>
                <w:b/>
              </w:rPr>
              <w:t>$908,000</w:t>
            </w:r>
          </w:p>
        </w:tc>
        <w:tc>
          <w:tcPr>
            <w:tcW w:w="1288" w:type="dxa"/>
            <w:vAlign w:val="center"/>
          </w:tcPr>
          <w:p w:rsidR="006B05ED" w:rsidRPr="00BE14CB" w:rsidRDefault="00FF42B7" w:rsidP="00FF42B7">
            <w:pPr>
              <w:jc w:val="right"/>
              <w:outlineLvl w:val="0"/>
              <w:rPr>
                <w:rFonts w:ascii="Arial" w:hAnsi="Arial" w:cs="Arial"/>
                <w:b/>
              </w:rPr>
            </w:pPr>
            <w:r>
              <w:rPr>
                <w:rFonts w:ascii="Arial" w:hAnsi="Arial" w:cs="Arial"/>
                <w:b/>
              </w:rPr>
              <w:t>$907,400</w:t>
            </w:r>
          </w:p>
        </w:tc>
        <w:tc>
          <w:tcPr>
            <w:tcW w:w="1288" w:type="dxa"/>
            <w:vAlign w:val="center"/>
          </w:tcPr>
          <w:p w:rsidR="006B05ED" w:rsidRPr="00BE14CB" w:rsidRDefault="00FF42B7" w:rsidP="00FF42B7">
            <w:pPr>
              <w:jc w:val="right"/>
              <w:outlineLvl w:val="0"/>
              <w:rPr>
                <w:rFonts w:ascii="Arial" w:hAnsi="Arial" w:cs="Arial"/>
                <w:b/>
              </w:rPr>
            </w:pPr>
            <w:r>
              <w:rPr>
                <w:rFonts w:ascii="Arial" w:hAnsi="Arial" w:cs="Arial"/>
                <w:b/>
              </w:rPr>
              <w:t>$905,200</w:t>
            </w:r>
          </w:p>
        </w:tc>
        <w:tc>
          <w:tcPr>
            <w:tcW w:w="1288" w:type="dxa"/>
            <w:vAlign w:val="center"/>
          </w:tcPr>
          <w:p w:rsidR="006B05ED" w:rsidRPr="00BE14CB" w:rsidRDefault="00FF42B7" w:rsidP="00FF42B7">
            <w:pPr>
              <w:jc w:val="right"/>
              <w:outlineLvl w:val="0"/>
              <w:rPr>
                <w:rFonts w:ascii="Arial" w:hAnsi="Arial" w:cs="Arial"/>
                <w:b/>
              </w:rPr>
            </w:pPr>
            <w:r>
              <w:rPr>
                <w:rFonts w:ascii="Arial" w:hAnsi="Arial" w:cs="Arial"/>
                <w:b/>
              </w:rPr>
              <w:t>$431,500</w:t>
            </w:r>
          </w:p>
        </w:tc>
      </w:tr>
    </w:tbl>
    <w:p w:rsidR="005C3AE0" w:rsidRPr="005C3AE0" w:rsidRDefault="005C3AE0" w:rsidP="008357CA">
      <w:pPr>
        <w:pStyle w:val="Heading2"/>
        <w:rPr>
          <w:sz w:val="20"/>
          <w:szCs w:val="20"/>
        </w:rPr>
      </w:pPr>
      <w:r w:rsidRPr="005C3AE0">
        <w:rPr>
          <w:sz w:val="20"/>
          <w:szCs w:val="20"/>
        </w:rPr>
        <w:t>*Future years subject to change</w:t>
      </w:r>
    </w:p>
    <w:p w:rsidR="00721C39" w:rsidRPr="009C460E" w:rsidRDefault="009C460E" w:rsidP="008357CA">
      <w:pPr>
        <w:pStyle w:val="Heading2"/>
      </w:pPr>
      <w:r>
        <w:t>Homeownership Program</w:t>
      </w:r>
    </w:p>
    <w:p w:rsidR="00721C39" w:rsidRDefault="009C460E" w:rsidP="00497675">
      <w:r>
        <w:t xml:space="preserve">The Homeownership Program provides a 5% down payment </w:t>
      </w:r>
      <w:r w:rsidR="00F86514">
        <w:t>in the form of a forgivable loan</w:t>
      </w:r>
      <w:r>
        <w:t xml:space="preserve"> over 20 years. </w:t>
      </w:r>
      <w:r w:rsidR="00721C39" w:rsidRPr="00200DD4">
        <w:t>To qualify</w:t>
      </w:r>
      <w:r w:rsidR="00BE14CB">
        <w:t>,</w:t>
      </w:r>
      <w:r w:rsidR="00721C39" w:rsidRPr="00200DD4">
        <w:t xml:space="preserve"> households must make under the maximum household income level and the house must be under the average resale price as determined by the Provinc</w:t>
      </w:r>
      <w:r w:rsidR="006B05ED">
        <w:t xml:space="preserve">e. </w:t>
      </w:r>
      <w:r w:rsidR="00721B29">
        <w:t>It is estimated the funding from the IAH progr</w:t>
      </w:r>
      <w:r w:rsidR="005E5F7C">
        <w:t>am will provide approximately 65</w:t>
      </w:r>
      <w:r w:rsidR="00721B29">
        <w:t xml:space="preserve"> homeownership down payments over the next five years.</w:t>
      </w:r>
    </w:p>
    <w:p w:rsidR="009C460E" w:rsidRPr="009C460E" w:rsidRDefault="009C460E" w:rsidP="00497675">
      <w:pPr>
        <w:pStyle w:val="Heading2"/>
      </w:pPr>
      <w:r>
        <w:t>Rent Supplement Program</w:t>
      </w:r>
    </w:p>
    <w:p w:rsidR="00A300DE" w:rsidRPr="00F86514" w:rsidRDefault="009C460E" w:rsidP="00497675">
      <w:r>
        <w:t>The Rent Supplement program provides</w:t>
      </w:r>
      <w:r w:rsidR="00721C39" w:rsidRPr="00200DD4">
        <w:t xml:space="preserve"> households with a monthl</w:t>
      </w:r>
      <w:r>
        <w:t>y subsidy.</w:t>
      </w:r>
      <w:r w:rsidR="00A300DE">
        <w:t xml:space="preserve"> The subsidy is</w:t>
      </w:r>
      <w:r w:rsidR="00721C39" w:rsidRPr="00200DD4">
        <w:t xml:space="preserve"> the difference between what a household can afford and the actual market rent of a modest unit</w:t>
      </w:r>
      <w:r w:rsidR="00A300DE">
        <w:t xml:space="preserve"> up to $200 a month</w:t>
      </w:r>
      <w:r w:rsidR="00721C39" w:rsidRPr="00200DD4">
        <w:t xml:space="preserve">. </w:t>
      </w:r>
      <w:r w:rsidR="00A300DE">
        <w:t xml:space="preserve">The </w:t>
      </w:r>
      <w:r w:rsidR="008357CA">
        <w:t>p</w:t>
      </w:r>
      <w:r w:rsidR="00721B29">
        <w:t>revious IAH program provides 55</w:t>
      </w:r>
      <w:r w:rsidR="00A300DE">
        <w:t xml:space="preserve"> on going rent s</w:t>
      </w:r>
      <w:r w:rsidR="005E5F7C">
        <w:t xml:space="preserve">ubsidies. </w:t>
      </w:r>
      <w:r w:rsidR="00A300DE">
        <w:t xml:space="preserve"> </w:t>
      </w:r>
      <w:r w:rsidR="00721C39" w:rsidRPr="00200DD4">
        <w:t>To qualify</w:t>
      </w:r>
      <w:r w:rsidR="00BE14CB">
        <w:t>,</w:t>
      </w:r>
      <w:r w:rsidR="00721C39" w:rsidRPr="00200DD4">
        <w:t xml:space="preserve"> households must make under the Household Income Limit</w:t>
      </w:r>
      <w:r w:rsidR="005E5F7C">
        <w:t>s</w:t>
      </w:r>
      <w:r w:rsidR="00721C39" w:rsidRPr="00200DD4">
        <w:t xml:space="preserve"> as determined by the Province and the rent must be at or below the average market rent for the area.</w:t>
      </w:r>
      <w:r w:rsidR="00721B29">
        <w:t xml:space="preserve"> It is estimated the funding from the IAH Program will provide approximately 20 more rents supplements over the next five years</w:t>
      </w:r>
    </w:p>
    <w:p w:rsidR="008357CA" w:rsidRPr="00200DD4" w:rsidRDefault="008357CA" w:rsidP="008357CA">
      <w:pPr>
        <w:pStyle w:val="Heading2"/>
      </w:pPr>
      <w:r>
        <w:t>Ontario Renovates Program</w:t>
      </w:r>
    </w:p>
    <w:p w:rsidR="00AC3A8B" w:rsidRDefault="008357CA" w:rsidP="00497675">
      <w:r>
        <w:t xml:space="preserve">Ontario Renovates </w:t>
      </w:r>
      <w:r w:rsidR="00721C39" w:rsidRPr="00200DD4">
        <w:t>assist</w:t>
      </w:r>
      <w:r>
        <w:t>s</w:t>
      </w:r>
      <w:r w:rsidR="00721C39" w:rsidRPr="00200DD4">
        <w:t xml:space="preserve"> low to moderate income home owner households to repair their home and increase the accessibility of their home through modifications and adaptations. Major repairs could include but are not limited to heating systems, doors </w:t>
      </w:r>
      <w:r w:rsidR="00721C39" w:rsidRPr="00200DD4">
        <w:lastRenderedPageBreak/>
        <w:t xml:space="preserve">and windows, roofs, electrical systems and plumbing. Modifications for accessibility could include ramps, handrails, chair and bath lifts, cues for doorbells and fire alarms. Forgivable loans of up to $15,000 are provided for repairs and secured with a promissory note. </w:t>
      </w:r>
      <w:r>
        <w:t xml:space="preserve">The Ontario Renovates Program has been a very successful program for the County of Grey. In the last three years 107 homeowners have received a total of $1,208,868 committed to improve or maintain their ability to stay in their homes. This amounts to an average </w:t>
      </w:r>
      <w:r w:rsidR="00F86514">
        <w:t>of approximately $11,2</w:t>
      </w:r>
      <w:r>
        <w:t>00 per home.</w:t>
      </w:r>
      <w:r w:rsidR="00721B29">
        <w:t xml:space="preserve"> It is estimated the funding from the IAH Program will provide approximately 110 more Grey County homes with renovations over the next five years.</w:t>
      </w:r>
    </w:p>
    <w:p w:rsidR="00D431B4" w:rsidRDefault="005C3AE0" w:rsidP="00497675">
      <w:r>
        <w:t>Under the IAH program</w:t>
      </w:r>
      <w:r w:rsidR="00D431B4">
        <w:t xml:space="preserve"> Domiciliary Hostels and Shelters for Victims of Domestic Violence</w:t>
      </w:r>
      <w:r>
        <w:t xml:space="preserve"> are now eligible to receive funding</w:t>
      </w:r>
      <w:r w:rsidR="00D431B4">
        <w:t xml:space="preserve"> for necessary capital repairs and upgrades. $250,000 is allotted to work with our six hostels and one shelter</w:t>
      </w:r>
      <w:r w:rsidR="005E5F7C">
        <w:t xml:space="preserve"> to improve life safety systems as necessary and provide capital repair funding.</w:t>
      </w:r>
    </w:p>
    <w:p w:rsidR="00D66497" w:rsidRDefault="00D66497" w:rsidP="00D66497">
      <w:pPr>
        <w:pStyle w:val="Heading2"/>
      </w:pPr>
      <w:r>
        <w:t>Rental Housing</w:t>
      </w:r>
    </w:p>
    <w:p w:rsidR="00D66497" w:rsidRPr="00D66497" w:rsidRDefault="00D66497" w:rsidP="00D66497">
      <w:r>
        <w:t xml:space="preserve">The Rental Housing Program component provides funding to increase the supply of rental housing by providing funding to eligible build projects for safe, adequate and affordable rental housing. Units are to be self-contained, follow provincial average size requirements, have all required municipal approvals, be financially viable, </w:t>
      </w:r>
      <w:r w:rsidR="005E5F7C">
        <w:t xml:space="preserve">meet eligibility criteria, and </w:t>
      </w:r>
      <w:r w:rsidR="00D431B4">
        <w:t>be able to start construction within 120 days of a signed agreement.</w:t>
      </w:r>
      <w:r w:rsidR="005E5F7C">
        <w:t xml:space="preserve"> Proposals are recommended by council and submitted to the Province for approval.</w:t>
      </w:r>
      <w:r w:rsidR="00D431B4">
        <w:t xml:space="preserve"> The program requires that rents remain at 80% of average market rent for the area as set by the Canadian Mortgage Housing Corporation for 20 years on funded units. Throughout the next five years</w:t>
      </w:r>
      <w:r w:rsidR="005E5F7C">
        <w:t xml:space="preserve"> there is</w:t>
      </w:r>
      <w:r w:rsidR="00D431B4">
        <w:t xml:space="preserve"> opportunity to support a small number of new affordable units in Grey County through this program.</w:t>
      </w:r>
    </w:p>
    <w:p w:rsidR="00AC3A8B" w:rsidRPr="00200DD4" w:rsidRDefault="00AC3A8B" w:rsidP="00AD02AB">
      <w:pPr>
        <w:pStyle w:val="Heading2"/>
        <w:rPr>
          <w:b/>
        </w:rPr>
      </w:pPr>
      <w:r w:rsidRPr="00200DD4">
        <w:t xml:space="preserve">Financial / </w:t>
      </w:r>
      <w:r w:rsidRPr="00AD02AB">
        <w:t>Staffing</w:t>
      </w:r>
      <w:r w:rsidRPr="00200DD4">
        <w:t xml:space="preserve"> / Legal / Information Technology Considerations</w:t>
      </w:r>
    </w:p>
    <w:p w:rsidR="00721C39" w:rsidRPr="00200DD4" w:rsidRDefault="00D431B4" w:rsidP="00497675">
      <w:r>
        <w:t>$4,060,700</w:t>
      </w:r>
      <w:r w:rsidR="00721C39" w:rsidRPr="00200DD4">
        <w:t xml:space="preserve"> in federal/provincial funding provided to th</w:t>
      </w:r>
      <w:r>
        <w:t>e County of Grey for the five</w:t>
      </w:r>
      <w:r w:rsidR="008357CA">
        <w:t xml:space="preserve"> year</w:t>
      </w:r>
      <w:r>
        <w:t>s (2015-2019)</w:t>
      </w:r>
      <w:r w:rsidR="00721C39" w:rsidRPr="00200DD4">
        <w:t xml:space="preserve"> of the Investmen</w:t>
      </w:r>
      <w:r w:rsidR="008357CA">
        <w:t>t in Affordable Housing Progra</w:t>
      </w:r>
      <w:r w:rsidR="00F86514">
        <w:t>m.</w:t>
      </w:r>
    </w:p>
    <w:p w:rsidR="00AC3A8B" w:rsidRDefault="00721C39" w:rsidP="00497675">
      <w:r w:rsidRPr="00200DD4">
        <w:t>This program will have a neutral impact on the County as no levy funds will be required</w:t>
      </w:r>
      <w:r w:rsidR="00F86514">
        <w:t>.</w:t>
      </w:r>
    </w:p>
    <w:p w:rsidR="00D41265" w:rsidRPr="00200DD4" w:rsidRDefault="00D41265" w:rsidP="00497675">
      <w:r>
        <w:t>5% of total allocated funds are eligible for administration costs.</w:t>
      </w:r>
    </w:p>
    <w:p w:rsidR="00AC3A8B" w:rsidRPr="00200DD4" w:rsidRDefault="00AC3A8B" w:rsidP="00AD02AB">
      <w:pPr>
        <w:pStyle w:val="Heading2"/>
      </w:pPr>
      <w:r w:rsidRPr="00200DD4">
        <w:t xml:space="preserve">Link to Strategic Goals / </w:t>
      </w:r>
      <w:r w:rsidRPr="00AD02AB">
        <w:t>Priorities</w:t>
      </w:r>
    </w:p>
    <w:p w:rsidR="00D41265" w:rsidRDefault="008357CA" w:rsidP="007649EE">
      <w:r>
        <w:t>The Investment in Affordable Housing</w:t>
      </w:r>
      <w:r w:rsidR="00D41265">
        <w:t xml:space="preserve"> 2014 Extension</w:t>
      </w:r>
      <w:r>
        <w:t xml:space="preserve"> Program funds will assist in the implementa</w:t>
      </w:r>
      <w:r w:rsidR="00626F82">
        <w:t>tion of the County of Grey Housing and Homelessness 10 Year Plan 2014-2024.</w:t>
      </w:r>
      <w:r w:rsidR="00721C39" w:rsidRPr="00200DD4">
        <w:t xml:space="preserve"> </w:t>
      </w:r>
    </w:p>
    <w:p w:rsidR="00F86514" w:rsidRDefault="00F86514" w:rsidP="00F86514">
      <w:pPr>
        <w:pStyle w:val="Heading2"/>
      </w:pPr>
      <w:r>
        <w:lastRenderedPageBreak/>
        <w:t>Attachments</w:t>
      </w:r>
    </w:p>
    <w:p w:rsidR="007B4F98" w:rsidRPr="007B4F98" w:rsidRDefault="00C7321D" w:rsidP="007B4F98">
      <w:hyperlink r:id="rId10" w:tooltip="Investment in Affordable Housing (2014 Extension) Allocation Letter" w:history="1">
        <w:r w:rsidR="00A10C70">
          <w:rPr>
            <w:rStyle w:val="Hyperlink"/>
          </w:rPr>
          <w:t>Investment in Affordable Housing (2014 Extension) Allocation Letter</w:t>
        </w:r>
      </w:hyperlink>
    </w:p>
    <w:p w:rsidR="00AC3A8B" w:rsidRPr="00200DD4" w:rsidRDefault="00AC3A8B" w:rsidP="00AC3A8B">
      <w:r w:rsidRPr="00200DD4">
        <w:t>Respectfully submitted by,</w:t>
      </w:r>
    </w:p>
    <w:p w:rsidR="00AC3A8B" w:rsidRPr="00200DD4" w:rsidRDefault="008357CA" w:rsidP="00AC3A8B">
      <w:r>
        <w:t>Anne Marie Shaw</w:t>
      </w:r>
      <w:r>
        <w:br/>
        <w:t>Director of Housing</w:t>
      </w:r>
    </w:p>
    <w:p w:rsidR="00FE7170" w:rsidRDefault="00D30027" w:rsidP="00A85D36">
      <w:r>
        <w:rPr>
          <w:noProof/>
          <w:lang w:val="en-CA" w:eastAsia="en-CA"/>
        </w:rPr>
        <w:lastRenderedPageBreak/>
        <w:drawing>
          <wp:inline distT="0" distB="0" distL="0" distR="0">
            <wp:extent cx="5943600" cy="7691755"/>
            <wp:effectExtent l="0" t="0" r="0" b="4445"/>
            <wp:docPr id="2" name="Picture 2" descr="Page 1 of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to housing_Pag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lang w:val="en-CA" w:eastAsia="en-CA"/>
        </w:rPr>
        <w:lastRenderedPageBreak/>
        <w:drawing>
          <wp:inline distT="0" distB="0" distL="0" distR="0">
            <wp:extent cx="5943600" cy="7691755"/>
            <wp:effectExtent l="0" t="0" r="0" b="4445"/>
            <wp:docPr id="3" name="Picture 3" descr="Page 2 of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to housing_Pag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FE7170" w:rsidSect="00953DFC">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0D" w:rsidRDefault="009E530D" w:rsidP="00883D8D">
      <w:pPr>
        <w:spacing w:after="0" w:line="240" w:lineRule="auto"/>
      </w:pPr>
      <w:r>
        <w:separator/>
      </w:r>
    </w:p>
  </w:endnote>
  <w:endnote w:type="continuationSeparator" w:id="0">
    <w:p w:rsidR="009E530D" w:rsidRDefault="009E530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5028BD" w:rsidP="00AC3A8B">
    <w:pPr>
      <w:pStyle w:val="Footer"/>
      <w:rPr>
        <w:sz w:val="22"/>
        <w:szCs w:val="22"/>
      </w:rPr>
    </w:pPr>
    <w:r>
      <w:rPr>
        <w:sz w:val="22"/>
        <w:szCs w:val="22"/>
      </w:rPr>
      <w:t>HDR-SS-03</w:t>
    </w:r>
    <w:r w:rsidR="00D431B4">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C7321D">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D431B4">
      <w:rPr>
        <w:sz w:val="22"/>
        <w:szCs w:val="22"/>
      </w:rPr>
      <w:t>February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0D" w:rsidRDefault="009E530D" w:rsidP="00883D8D">
      <w:pPr>
        <w:spacing w:after="0" w:line="240" w:lineRule="auto"/>
      </w:pPr>
      <w:r>
        <w:separator/>
      </w:r>
    </w:p>
  </w:footnote>
  <w:footnote w:type="continuationSeparator" w:id="0">
    <w:p w:rsidR="009E530D" w:rsidRDefault="009E530D"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676"/>
    <w:multiLevelType w:val="hybridMultilevel"/>
    <w:tmpl w:val="0EAE8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97045A"/>
    <w:multiLevelType w:val="hybridMultilevel"/>
    <w:tmpl w:val="1F149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24B19F0"/>
    <w:multiLevelType w:val="hybridMultilevel"/>
    <w:tmpl w:val="85628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13FCB"/>
    <w:rsid w:val="001B432C"/>
    <w:rsid w:val="001C0B21"/>
    <w:rsid w:val="001F1D7C"/>
    <w:rsid w:val="001F454A"/>
    <w:rsid w:val="00200DD4"/>
    <w:rsid w:val="00247CA8"/>
    <w:rsid w:val="00283B0A"/>
    <w:rsid w:val="002915BC"/>
    <w:rsid w:val="00295810"/>
    <w:rsid w:val="002C6064"/>
    <w:rsid w:val="003062A4"/>
    <w:rsid w:val="003129AA"/>
    <w:rsid w:val="004154C4"/>
    <w:rsid w:val="00437B77"/>
    <w:rsid w:val="00446A72"/>
    <w:rsid w:val="00457F2B"/>
    <w:rsid w:val="00464176"/>
    <w:rsid w:val="004667C3"/>
    <w:rsid w:val="004942B7"/>
    <w:rsid w:val="00497675"/>
    <w:rsid w:val="004F083D"/>
    <w:rsid w:val="005028BD"/>
    <w:rsid w:val="00521E7C"/>
    <w:rsid w:val="005242F2"/>
    <w:rsid w:val="00541713"/>
    <w:rsid w:val="005A360A"/>
    <w:rsid w:val="005C31C1"/>
    <w:rsid w:val="005C3AE0"/>
    <w:rsid w:val="005E5F7C"/>
    <w:rsid w:val="00626F82"/>
    <w:rsid w:val="00644370"/>
    <w:rsid w:val="006563A9"/>
    <w:rsid w:val="006B05ED"/>
    <w:rsid w:val="006B4C34"/>
    <w:rsid w:val="006C26E2"/>
    <w:rsid w:val="00721B29"/>
    <w:rsid w:val="00721C39"/>
    <w:rsid w:val="007649EE"/>
    <w:rsid w:val="007A682D"/>
    <w:rsid w:val="007B4F98"/>
    <w:rsid w:val="00816DA7"/>
    <w:rsid w:val="008357CA"/>
    <w:rsid w:val="00870121"/>
    <w:rsid w:val="00883D8D"/>
    <w:rsid w:val="00895616"/>
    <w:rsid w:val="008C536D"/>
    <w:rsid w:val="00940462"/>
    <w:rsid w:val="00953DFC"/>
    <w:rsid w:val="009B2616"/>
    <w:rsid w:val="009C460E"/>
    <w:rsid w:val="009E530D"/>
    <w:rsid w:val="00A10C70"/>
    <w:rsid w:val="00A149C7"/>
    <w:rsid w:val="00A300DE"/>
    <w:rsid w:val="00A52D13"/>
    <w:rsid w:val="00A607A3"/>
    <w:rsid w:val="00A63DD6"/>
    <w:rsid w:val="00A85D36"/>
    <w:rsid w:val="00AA5E09"/>
    <w:rsid w:val="00AB2197"/>
    <w:rsid w:val="00AC3A8B"/>
    <w:rsid w:val="00AD02AB"/>
    <w:rsid w:val="00AE55C8"/>
    <w:rsid w:val="00B12CC6"/>
    <w:rsid w:val="00B64986"/>
    <w:rsid w:val="00BD7E38"/>
    <w:rsid w:val="00BE14CB"/>
    <w:rsid w:val="00C316EC"/>
    <w:rsid w:val="00C7321D"/>
    <w:rsid w:val="00CE439D"/>
    <w:rsid w:val="00CF4AA5"/>
    <w:rsid w:val="00CF578E"/>
    <w:rsid w:val="00D30027"/>
    <w:rsid w:val="00D41265"/>
    <w:rsid w:val="00D431B4"/>
    <w:rsid w:val="00D66497"/>
    <w:rsid w:val="00DC1FF0"/>
    <w:rsid w:val="00DD7A99"/>
    <w:rsid w:val="00DE0F06"/>
    <w:rsid w:val="00DE5230"/>
    <w:rsid w:val="00E244E6"/>
    <w:rsid w:val="00E32F4D"/>
    <w:rsid w:val="00E45B3A"/>
    <w:rsid w:val="00F73A3C"/>
    <w:rsid w:val="00F86514"/>
    <w:rsid w:val="00FD7D69"/>
    <w:rsid w:val="00FE7170"/>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rsid w:val="00721C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29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29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10C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rsid w:val="00721C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29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29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10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reydocs.ca/urm/idcplg?IdcService=GET_FILE&amp;dDocName=GC_243377&amp;RevisionSelectionMethod=LatestReleased&amp;Rendition=Web"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2015-01-27T14:46:00+00:00</sentdate>
    <Superseded xmlns="e6cd7bd4-3f3e-4495-b8c9-139289cd76e6">false</Superseded>
    <Year xmlns="e6cd7bd4-3f3e-4495-b8c9-139289cd76e6" xsi:nil="true"/>
    <originator xmlns="e6cd7bd4-3f3e-4495-b8c9-139289cd76e6">shawa</originator>
    <policyNumber xmlns="e6cd7bd4-3f3e-4495-b8c9-139289cd76e6" xsi:nil="true"/>
    <documentNumber xmlns="e6cd7bd4-3f3e-4495-b8c9-139289cd76e6">GC_100130672</documentNumber>
    <Municipality xmlns="e6cd7bd4-3f3e-4495-b8c9-139289cd76e6" xsi:nil="true"/>
    <gcNumber xmlns="e6cd7bd4-3f3e-4495-b8c9-139289cd76e6">GC_243238</gcNumber>
    <recordCategory xmlns="e6cd7bd4-3f3e-4495-b8c9-139289cd76e6">C11</recordCategory>
    <isPublic xmlns="e6cd7bd4-3f3e-4495-b8c9-139289cd76e6">true</isPublic>
    <sharedId xmlns="e6cd7bd4-3f3e-4495-b8c9-139289cd76e6">7j8476_JSTiG3To-ft6_Pw</sharedId>
    <committee xmlns="e6cd7bd4-3f3e-4495-b8c9-139289cd76e6">Social Services</committee>
    <meetingId xmlns="e6cd7bd4-3f3e-4495-b8c9-139289cd76e6">[2015-02-11 Social Services [1118]]</meetingId>
    <capitalProjectPriority xmlns="e6cd7bd4-3f3e-4495-b8c9-139289cd76e6" xsi:nil="true"/>
    <policyApprovalDate xmlns="e6cd7bd4-3f3e-4495-b8c9-139289cd76e6" xsi:nil="true"/>
    <NodeRef xmlns="e6cd7bd4-3f3e-4495-b8c9-139289cd76e6">cace79bc-6508-4301-b15b-254568ca912d</NodeRef>
    <addressees xmlns="e6cd7bd4-3f3e-4495-b8c9-139289cd76e6" xsi:nil="true"/>
    <identifier xmlns="e6cd7bd4-3f3e-4495-b8c9-139289cd76e6">2016-1466979837350</identifier>
    <reviewAsOf xmlns="e6cd7bd4-3f3e-4495-b8c9-139289cd76e6">2026-11-08T08:23:30+00:00</reviewAsOf>
    <bylawNumber xmlns="e6cd7bd4-3f3e-4495-b8c9-139289cd76e6" xsi:nil="true"/>
    <addressee xmlns="e6cd7bd4-3f3e-4495-b8c9-139289cd76e6" xsi:nil="true"/>
    <recordOriginatingLocation xmlns="e6cd7bd4-3f3e-4495-b8c9-139289cd76e6">workspace://SpacesStore/1382f395-9cb2-451a-bd2a-0e227fed8800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A9C6A53-BF2C-4019-9BE5-03DC3A5B8BE7}">
  <ds:schemaRefs>
    <ds:schemaRef ds:uri="http://schemas.openxmlformats.org/officeDocument/2006/bibliography"/>
  </ds:schemaRefs>
</ds:datastoreItem>
</file>

<file path=customXml/itemProps2.xml><?xml version="1.0" encoding="utf-8"?>
<ds:datastoreItem xmlns:ds="http://schemas.openxmlformats.org/officeDocument/2006/customXml" ds:itemID="{20D394EA-CE10-4D1A-B46F-3DAF14059FB4}"/>
</file>

<file path=customXml/itemProps3.xml><?xml version="1.0" encoding="utf-8"?>
<ds:datastoreItem xmlns:ds="http://schemas.openxmlformats.org/officeDocument/2006/customXml" ds:itemID="{AD625320-1F39-4FB8-B1FF-F1BBBE777142}"/>
</file>

<file path=customXml/itemProps4.xml><?xml version="1.0" encoding="utf-8"?>
<ds:datastoreItem xmlns:ds="http://schemas.openxmlformats.org/officeDocument/2006/customXml" ds:itemID="{B5FC7F43-77D1-4A91-BA61-45BF6FDDDD89}"/>
</file>

<file path=customXml/itemProps5.xml><?xml version="1.0" encoding="utf-8"?>
<ds:datastoreItem xmlns:ds="http://schemas.openxmlformats.org/officeDocument/2006/customXml" ds:itemID="{EAE2A111-D674-420B-A4F4-8B262B8C5FE8}"/>
</file>

<file path=docProps/app.xml><?xml version="1.0" encoding="utf-8"?>
<Properties xmlns="http://schemas.openxmlformats.org/officeDocument/2006/extended-properties" xmlns:vt="http://schemas.openxmlformats.org/officeDocument/2006/docPropsVTypes">
  <Template>Normal</Template>
  <TotalTime>306</TotalTime>
  <Pages>7</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Shaw, Anne Marie</cp:lastModifiedBy>
  <cp:revision>14</cp:revision>
  <cp:lastPrinted>2014-08-28T17:24:00Z</cp:lastPrinted>
  <dcterms:created xsi:type="dcterms:W3CDTF">2015-01-27T19:46:00Z</dcterms:created>
  <dcterms:modified xsi:type="dcterms:W3CDTF">2016-03-30T17:14:00Z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