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D30B83">
      <w:pPr>
        <w:pStyle w:val="Title"/>
        <w:widowControl w:val="0"/>
        <w:spacing w:line="276" w:lineRule="auto"/>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D30B83">
            <w:pPr>
              <w:widowControl w:val="0"/>
              <w:spacing w:before="60" w:after="60" w:line="276" w:lineRule="auto"/>
            </w:pPr>
            <w:r w:rsidRPr="00860D2A">
              <w:rPr>
                <w:b/>
                <w:bCs/>
              </w:rPr>
              <w:t>To</w:t>
            </w:r>
            <w:r>
              <w:t>:</w:t>
            </w:r>
          </w:p>
        </w:tc>
        <w:tc>
          <w:tcPr>
            <w:tcW w:w="6326" w:type="dxa"/>
          </w:tcPr>
          <w:p w14:paraId="229AC4B1" w14:textId="1F0E15AB" w:rsidR="009C4373" w:rsidRDefault="00554F8D" w:rsidP="00D30B83">
            <w:pPr>
              <w:widowControl w:val="0"/>
              <w:spacing w:before="60" w:after="60" w:line="276" w:lineRule="auto"/>
            </w:pPr>
            <w:r>
              <w:t>Chair McQueen</w:t>
            </w:r>
            <w:r w:rsidR="009C4373">
              <w:t xml:space="preserve"> and Members of </w:t>
            </w:r>
            <w:r>
              <w:t>the Healthcare Funding Task Force</w:t>
            </w:r>
          </w:p>
        </w:tc>
      </w:tr>
      <w:tr w:rsidR="009C4373" w14:paraId="28B0CAE8" w14:textId="77777777" w:rsidTr="00893CEB">
        <w:tc>
          <w:tcPr>
            <w:tcW w:w="3024" w:type="dxa"/>
          </w:tcPr>
          <w:p w14:paraId="76FE071B" w14:textId="77777777" w:rsidR="009C4373" w:rsidRDefault="009C4373" w:rsidP="00D30B83">
            <w:pPr>
              <w:widowControl w:val="0"/>
              <w:spacing w:before="60" w:after="60" w:line="276" w:lineRule="auto"/>
            </w:pPr>
            <w:r w:rsidRPr="00860D2A">
              <w:rPr>
                <w:b/>
                <w:bCs/>
              </w:rPr>
              <w:t>Committee Date</w:t>
            </w:r>
            <w:r>
              <w:t>:</w:t>
            </w:r>
          </w:p>
        </w:tc>
        <w:tc>
          <w:tcPr>
            <w:tcW w:w="6326" w:type="dxa"/>
          </w:tcPr>
          <w:p w14:paraId="0A6390A5" w14:textId="5732893E" w:rsidR="009C4373" w:rsidRDefault="00554F8D" w:rsidP="00D30B83">
            <w:pPr>
              <w:widowControl w:val="0"/>
              <w:spacing w:before="60" w:after="60" w:line="276" w:lineRule="auto"/>
            </w:pPr>
            <w:r>
              <w:t>November 22, 2021</w:t>
            </w:r>
          </w:p>
        </w:tc>
      </w:tr>
      <w:tr w:rsidR="009C4373" w14:paraId="2A75EB31" w14:textId="77777777" w:rsidTr="00893CEB">
        <w:tc>
          <w:tcPr>
            <w:tcW w:w="3024" w:type="dxa"/>
          </w:tcPr>
          <w:p w14:paraId="2164EC44" w14:textId="77777777" w:rsidR="009C4373" w:rsidRDefault="009C4373" w:rsidP="00D30B83">
            <w:pPr>
              <w:widowControl w:val="0"/>
              <w:spacing w:before="60" w:after="60" w:line="276" w:lineRule="auto"/>
            </w:pPr>
            <w:r w:rsidRPr="00860D2A">
              <w:rPr>
                <w:b/>
                <w:bCs/>
              </w:rPr>
              <w:t>Subject / Report No</w:t>
            </w:r>
            <w:r>
              <w:t>:</w:t>
            </w:r>
          </w:p>
        </w:tc>
        <w:tc>
          <w:tcPr>
            <w:tcW w:w="6326" w:type="dxa"/>
          </w:tcPr>
          <w:p w14:paraId="37C8B935" w14:textId="4B03CBFB" w:rsidR="009C4373" w:rsidRDefault="00554F8D" w:rsidP="00D30B83">
            <w:pPr>
              <w:widowControl w:val="0"/>
              <w:spacing w:before="60" w:after="60" w:line="276" w:lineRule="auto"/>
            </w:pPr>
            <w:r>
              <w:t>CAOR-HCF-14-21</w:t>
            </w:r>
          </w:p>
        </w:tc>
      </w:tr>
      <w:tr w:rsidR="009C4373" w14:paraId="762A937E" w14:textId="77777777" w:rsidTr="00893CEB">
        <w:tc>
          <w:tcPr>
            <w:tcW w:w="3024" w:type="dxa"/>
          </w:tcPr>
          <w:p w14:paraId="08CC6E7A" w14:textId="77777777" w:rsidR="009C4373" w:rsidRDefault="009C4373" w:rsidP="00D30B83">
            <w:pPr>
              <w:widowControl w:val="0"/>
              <w:spacing w:before="60" w:after="60" w:line="276" w:lineRule="auto"/>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37092170" w:rsidR="009C4373" w:rsidRDefault="00554F8D" w:rsidP="00D30B83">
                <w:pPr>
                  <w:widowControl w:val="0"/>
                  <w:spacing w:before="60" w:after="60" w:line="276" w:lineRule="auto"/>
                </w:pPr>
                <w:r>
                  <w:t>Proposed Health Care Funding Policy</w:t>
                </w:r>
              </w:p>
            </w:tc>
          </w:sdtContent>
        </w:sdt>
      </w:tr>
      <w:tr w:rsidR="009C4373" w14:paraId="3A471F7F" w14:textId="77777777" w:rsidTr="00893CEB">
        <w:tc>
          <w:tcPr>
            <w:tcW w:w="3024" w:type="dxa"/>
          </w:tcPr>
          <w:p w14:paraId="5A695257" w14:textId="77777777" w:rsidR="009C4373" w:rsidRDefault="009C4373" w:rsidP="00D30B83">
            <w:pPr>
              <w:widowControl w:val="0"/>
              <w:spacing w:before="60" w:after="60" w:line="276" w:lineRule="auto"/>
            </w:pPr>
            <w:r w:rsidRPr="00860D2A">
              <w:rPr>
                <w:b/>
                <w:bCs/>
              </w:rPr>
              <w:t>Prepared by</w:t>
            </w:r>
            <w:r>
              <w:t>:</w:t>
            </w:r>
          </w:p>
        </w:tc>
        <w:tc>
          <w:tcPr>
            <w:tcW w:w="6326" w:type="dxa"/>
          </w:tcPr>
          <w:p w14:paraId="1588C054" w14:textId="2EA4A483" w:rsidR="009C4373" w:rsidRDefault="00554F8D" w:rsidP="00D30B83">
            <w:pPr>
              <w:widowControl w:val="0"/>
              <w:spacing w:before="60" w:after="60" w:line="276" w:lineRule="auto"/>
            </w:pPr>
            <w:r>
              <w:t>Kim Wingrove, CAO</w:t>
            </w:r>
          </w:p>
        </w:tc>
      </w:tr>
      <w:tr w:rsidR="009C4373" w14:paraId="5046C7C1" w14:textId="77777777" w:rsidTr="00893CEB">
        <w:tc>
          <w:tcPr>
            <w:tcW w:w="3024" w:type="dxa"/>
          </w:tcPr>
          <w:p w14:paraId="559021D4" w14:textId="77777777" w:rsidR="009C4373" w:rsidRDefault="009C4373" w:rsidP="00D30B83">
            <w:pPr>
              <w:widowControl w:val="0"/>
              <w:spacing w:before="60" w:after="60" w:line="276" w:lineRule="auto"/>
            </w:pPr>
            <w:r w:rsidRPr="00860D2A">
              <w:rPr>
                <w:b/>
                <w:bCs/>
              </w:rPr>
              <w:t>Reviewed by</w:t>
            </w:r>
            <w:r>
              <w:t>:</w:t>
            </w:r>
          </w:p>
        </w:tc>
        <w:tc>
          <w:tcPr>
            <w:tcW w:w="6326" w:type="dxa"/>
          </w:tcPr>
          <w:p w14:paraId="156EA1ED" w14:textId="448C01EE" w:rsidR="009C4373" w:rsidRDefault="00E46540" w:rsidP="00D30B83">
            <w:pPr>
              <w:widowControl w:val="0"/>
              <w:spacing w:before="60" w:after="60" w:line="276" w:lineRule="auto"/>
            </w:pPr>
            <w:r>
              <w:t>Mary Lou Spicer, Treasurer</w:t>
            </w:r>
          </w:p>
        </w:tc>
      </w:tr>
      <w:tr w:rsidR="009C4373" w14:paraId="2A1ACE62" w14:textId="77777777" w:rsidTr="00893CEB">
        <w:tc>
          <w:tcPr>
            <w:tcW w:w="3024" w:type="dxa"/>
          </w:tcPr>
          <w:p w14:paraId="466A1BF7" w14:textId="77777777" w:rsidR="009C4373" w:rsidRDefault="009C4373" w:rsidP="00D30B83">
            <w:pPr>
              <w:widowControl w:val="0"/>
              <w:spacing w:before="60" w:after="60" w:line="276" w:lineRule="auto"/>
            </w:pPr>
            <w:r w:rsidRPr="00860D2A">
              <w:rPr>
                <w:b/>
                <w:bCs/>
              </w:rPr>
              <w:t>Lower Tier(s) Affected</w:t>
            </w:r>
            <w:r>
              <w:t>:</w:t>
            </w:r>
          </w:p>
        </w:tc>
        <w:tc>
          <w:tcPr>
            <w:tcW w:w="6326" w:type="dxa"/>
          </w:tcPr>
          <w:p w14:paraId="6FBFBF4D" w14:textId="77777777" w:rsidR="009C4373" w:rsidRDefault="009C4373" w:rsidP="00D30B83">
            <w:pPr>
              <w:widowControl w:val="0"/>
              <w:spacing w:before="60" w:after="60" w:line="276" w:lineRule="auto"/>
            </w:pPr>
          </w:p>
        </w:tc>
      </w:tr>
      <w:tr w:rsidR="009C4373" w14:paraId="7E914223" w14:textId="77777777" w:rsidTr="00893CEB">
        <w:tc>
          <w:tcPr>
            <w:tcW w:w="3024" w:type="dxa"/>
          </w:tcPr>
          <w:p w14:paraId="616C3E2C" w14:textId="77777777" w:rsidR="009C4373" w:rsidRDefault="009C4373" w:rsidP="00D30B83">
            <w:pPr>
              <w:widowControl w:val="0"/>
              <w:spacing w:before="60" w:after="60" w:line="276" w:lineRule="auto"/>
            </w:pPr>
            <w:r w:rsidRPr="00860D2A">
              <w:rPr>
                <w:b/>
                <w:bCs/>
              </w:rPr>
              <w:t>Status</w:t>
            </w:r>
            <w:r>
              <w:t>:</w:t>
            </w:r>
          </w:p>
        </w:tc>
        <w:tc>
          <w:tcPr>
            <w:tcW w:w="6326" w:type="dxa"/>
          </w:tcPr>
          <w:p w14:paraId="1099FD26" w14:textId="51A296B5" w:rsidR="009C4373" w:rsidRDefault="00D56BF8" w:rsidP="00D30B83">
            <w:pPr>
              <w:widowControl w:val="0"/>
              <w:spacing w:before="60" w:after="60" w:line="276" w:lineRule="auto"/>
            </w:pPr>
            <w:r>
              <w:t>Recommendation adopted by Task Force as amended per Resolution HCF-02-21; Endorsed by Committee of the Whole as amended per Resolution CW02-22; Endorsed by County Council January 13, 2022 per Resolution CC11-22;</w:t>
            </w:r>
          </w:p>
        </w:tc>
      </w:tr>
    </w:tbl>
    <w:p w14:paraId="22045908" w14:textId="77777777" w:rsidR="00893CEB" w:rsidRDefault="00893CEB" w:rsidP="00D30B83">
      <w:pPr>
        <w:pStyle w:val="Heading1"/>
        <w:keepNext w:val="0"/>
        <w:keepLines w:val="0"/>
        <w:widowControl w:val="0"/>
      </w:pPr>
      <w:r>
        <w:t>Recommendation</w:t>
      </w:r>
    </w:p>
    <w:p w14:paraId="1BD85B9B" w14:textId="4CE7C081" w:rsidR="00893CEB" w:rsidRPr="00753DAF" w:rsidRDefault="00893CEB" w:rsidP="00D30B83">
      <w:pPr>
        <w:pStyle w:val="Level1"/>
        <w:widowControl w:val="0"/>
        <w:rPr>
          <w:b/>
          <w:bCs w:val="0"/>
        </w:rPr>
      </w:pPr>
      <w:r w:rsidRPr="00753DAF">
        <w:rPr>
          <w:b/>
          <w:bCs w:val="0"/>
        </w:rPr>
        <w:t>That</w:t>
      </w:r>
      <w:r w:rsidR="00554F8D" w:rsidRPr="00753DAF">
        <w:rPr>
          <w:b/>
          <w:bCs w:val="0"/>
        </w:rPr>
        <w:t xml:space="preserve"> Report CAOR-HCF-14-21 be received</w:t>
      </w:r>
      <w:r w:rsidRPr="00753DAF">
        <w:rPr>
          <w:b/>
          <w:bCs w:val="0"/>
        </w:rPr>
        <w:t>; and</w:t>
      </w:r>
    </w:p>
    <w:p w14:paraId="0A312916" w14:textId="2E47FC65" w:rsidR="00E0692A" w:rsidRPr="00753DAF" w:rsidRDefault="00893CEB" w:rsidP="00D30B83">
      <w:pPr>
        <w:pStyle w:val="Level1"/>
        <w:widowControl w:val="0"/>
        <w:rPr>
          <w:b/>
          <w:bCs w:val="0"/>
        </w:rPr>
      </w:pPr>
      <w:r w:rsidRPr="00753DAF">
        <w:rPr>
          <w:b/>
          <w:bCs w:val="0"/>
        </w:rPr>
        <w:t xml:space="preserve">That </w:t>
      </w:r>
      <w:r w:rsidR="00ED6544" w:rsidRPr="00753DAF">
        <w:rPr>
          <w:b/>
          <w:bCs w:val="0"/>
        </w:rPr>
        <w:t xml:space="preserve">the proposed </w:t>
      </w:r>
      <w:r w:rsidR="00554F8D" w:rsidRPr="00753DAF">
        <w:rPr>
          <w:rFonts w:cs="Arial"/>
          <w:b/>
          <w:bCs w:val="0"/>
        </w:rPr>
        <w:t>Grey County’s healthcare funding policy reflect</w:t>
      </w:r>
      <w:r w:rsidR="00ED6544" w:rsidRPr="00753DAF">
        <w:rPr>
          <w:rFonts w:cs="Arial"/>
          <w:b/>
          <w:bCs w:val="0"/>
        </w:rPr>
        <w:t>ing</w:t>
      </w:r>
      <w:r w:rsidR="00554F8D" w:rsidRPr="00753DAF">
        <w:rPr>
          <w:rFonts w:cs="Arial"/>
          <w:b/>
          <w:bCs w:val="0"/>
        </w:rPr>
        <w:t xml:space="preserve"> the eligibility principles as outlined in the report</w:t>
      </w:r>
      <w:r w:rsidR="00ED6544" w:rsidRPr="00753DAF">
        <w:rPr>
          <w:rFonts w:cs="Arial"/>
          <w:b/>
          <w:bCs w:val="0"/>
        </w:rPr>
        <w:t xml:space="preserve"> be approved</w:t>
      </w:r>
      <w:r w:rsidR="00554F8D" w:rsidRPr="00753DAF">
        <w:rPr>
          <w:rFonts w:cs="Arial"/>
          <w:b/>
          <w:bCs w:val="0"/>
        </w:rPr>
        <w:t>; and</w:t>
      </w:r>
    </w:p>
    <w:p w14:paraId="4C78E614" w14:textId="4E33A94E" w:rsidR="00554F8D" w:rsidRPr="00753DAF" w:rsidRDefault="00554F8D" w:rsidP="00D30B83">
      <w:pPr>
        <w:pStyle w:val="Level1"/>
        <w:rPr>
          <w:b/>
          <w:bCs w:val="0"/>
        </w:rPr>
      </w:pPr>
      <w:r w:rsidRPr="00753DAF">
        <w:rPr>
          <w:b/>
          <w:bCs w:val="0"/>
        </w:rPr>
        <w:t xml:space="preserve">That </w:t>
      </w:r>
      <w:r w:rsidR="00981A3C">
        <w:rPr>
          <w:b/>
          <w:bCs w:val="0"/>
        </w:rPr>
        <w:t xml:space="preserve">the </w:t>
      </w:r>
      <w:r w:rsidRPr="00753DAF">
        <w:rPr>
          <w:b/>
          <w:bCs w:val="0"/>
        </w:rPr>
        <w:t xml:space="preserve">annual contribution to reserve for health care funding be increased to </w:t>
      </w:r>
      <w:r w:rsidR="00981A3C">
        <w:rPr>
          <w:b/>
          <w:bCs w:val="0"/>
        </w:rPr>
        <w:t>three quarters of 1</w:t>
      </w:r>
      <w:r w:rsidRPr="00753DAF">
        <w:rPr>
          <w:b/>
          <w:bCs w:val="0"/>
        </w:rPr>
        <w:t xml:space="preserve">% </w:t>
      </w:r>
      <w:r w:rsidR="00981A3C">
        <w:rPr>
          <w:b/>
          <w:bCs w:val="0"/>
        </w:rPr>
        <w:t>of County levy</w:t>
      </w:r>
      <w:r w:rsidRPr="00753DAF">
        <w:rPr>
          <w:b/>
          <w:bCs w:val="0"/>
        </w:rPr>
        <w:t xml:space="preserve"> as resources are available to do so</w:t>
      </w:r>
      <w:r w:rsidR="00ED6544" w:rsidRPr="00753DAF">
        <w:rPr>
          <w:b/>
          <w:bCs w:val="0"/>
        </w:rPr>
        <w:t>; and</w:t>
      </w:r>
    </w:p>
    <w:p w14:paraId="05646A35" w14:textId="4BE8C7A5" w:rsidR="00ED6544" w:rsidRDefault="00ED6544" w:rsidP="00D30B83">
      <w:pPr>
        <w:pStyle w:val="Level1"/>
        <w:rPr>
          <w:b/>
          <w:bCs w:val="0"/>
        </w:rPr>
      </w:pPr>
      <w:r w:rsidRPr="00753DAF">
        <w:rPr>
          <w:b/>
          <w:bCs w:val="0"/>
        </w:rPr>
        <w:t>That staff recommendations for resolution of the outstanding funding requests be approved</w:t>
      </w:r>
      <w:r w:rsidR="00B71510">
        <w:rPr>
          <w:b/>
          <w:bCs w:val="0"/>
        </w:rPr>
        <w:t>; and</w:t>
      </w:r>
    </w:p>
    <w:p w14:paraId="3C3FEF91" w14:textId="0AFD5CA8" w:rsidR="00B71510" w:rsidRPr="00753DAF" w:rsidRDefault="00B71510" w:rsidP="00D30B83">
      <w:pPr>
        <w:pStyle w:val="Level1"/>
        <w:rPr>
          <w:b/>
          <w:bCs w:val="0"/>
        </w:rPr>
      </w:pPr>
      <w:r>
        <w:rPr>
          <w:b/>
          <w:bCs w:val="0"/>
        </w:rPr>
        <w:t>That upon final endorse</w:t>
      </w:r>
      <w:r w:rsidR="00544BC2">
        <w:rPr>
          <w:b/>
          <w:bCs w:val="0"/>
        </w:rPr>
        <w:t>ment</w:t>
      </w:r>
      <w:r>
        <w:rPr>
          <w:b/>
          <w:bCs w:val="0"/>
        </w:rPr>
        <w:t xml:space="preserve"> by County Council of the changes relative to health care funding, the Health Care Funding Roles and Responsibilities Task Force be dissolved.</w:t>
      </w:r>
    </w:p>
    <w:p w14:paraId="48D663CE" w14:textId="77777777" w:rsidR="00893CEB" w:rsidRDefault="00893CEB" w:rsidP="00D30B83">
      <w:pPr>
        <w:pStyle w:val="Heading2"/>
        <w:keepNext w:val="0"/>
        <w:keepLines w:val="0"/>
        <w:widowControl w:val="0"/>
      </w:pPr>
      <w:r>
        <w:t>Executive Summary</w:t>
      </w:r>
    </w:p>
    <w:p w14:paraId="18CA334E" w14:textId="34D86024" w:rsidR="00554F8D" w:rsidRPr="00271A21" w:rsidRDefault="00554F8D" w:rsidP="00D30B83">
      <w:pPr>
        <w:ind w:right="746"/>
        <w:rPr>
          <w:rFonts w:cs="Arial"/>
        </w:rPr>
      </w:pPr>
      <w:r w:rsidRPr="00271A21">
        <w:rPr>
          <w:rFonts w:cs="Arial"/>
        </w:rPr>
        <w:lastRenderedPageBreak/>
        <w:t>This report provides principles and rationale that could assist both Council and funding requesters in determining the suitability of health care related funding requests for County support. The task force heard consistently that the need for fund raising beyond provincial budget allocations was critically important, that project costs have escalated quickly as has the proportionate share to be raised from the public.  Aging infrastructure must be maintained or replaced. Our population is growing and aging and with it</w:t>
      </w:r>
      <w:r w:rsidR="00544BC2">
        <w:rPr>
          <w:rFonts w:cs="Arial"/>
        </w:rPr>
        <w:t>,</w:t>
      </w:r>
      <w:r w:rsidRPr="00271A21">
        <w:rPr>
          <w:rFonts w:cs="Arial"/>
        </w:rPr>
        <w:t xml:space="preserve"> demands for new or improved services. </w:t>
      </w:r>
    </w:p>
    <w:p w14:paraId="201EF2E8" w14:textId="77777777" w:rsidR="00554F8D" w:rsidRPr="00271A21" w:rsidRDefault="00554F8D" w:rsidP="00D30B83">
      <w:pPr>
        <w:ind w:right="746"/>
        <w:rPr>
          <w:rFonts w:cs="Arial"/>
        </w:rPr>
      </w:pPr>
      <w:r w:rsidRPr="00271A21">
        <w:rPr>
          <w:rFonts w:cs="Arial"/>
        </w:rPr>
        <w:t xml:space="preserve">Healthcare service providers in rural communities have limited capacity to raise substantial amounts of funding quickly from the public.  The County’s taxation ability gives it the ability to raise funds that the health care sector does not have. </w:t>
      </w:r>
    </w:p>
    <w:p w14:paraId="5E597144" w14:textId="77777777" w:rsidR="00554F8D" w:rsidRPr="00271A21" w:rsidRDefault="00554F8D" w:rsidP="00D30B83">
      <w:pPr>
        <w:ind w:right="746"/>
        <w:rPr>
          <w:rStyle w:val="IntenseEmphasis"/>
          <w:rFonts w:cs="Arial"/>
          <w:b w:val="0"/>
        </w:rPr>
      </w:pPr>
      <w:r w:rsidRPr="00271A21">
        <w:rPr>
          <w:rFonts w:cs="Arial"/>
        </w:rPr>
        <w:t xml:space="preserve">The proposed principles to guide County health care funding decisions are made within the context that all upper tier municipalities already provide significant resources to health care through the </w:t>
      </w:r>
      <w:r w:rsidRPr="00271A21">
        <w:rPr>
          <w:rStyle w:val="IntenseEmphasis"/>
          <w:rFonts w:cs="Arial"/>
          <w:b w:val="0"/>
        </w:rPr>
        <w:t xml:space="preserve">portion of county levy allocated to long term care, paramedic services and support to the health unit.  For Grey County in 2021 this amounted to 27.4% of the levy or over $17,000,000.  </w:t>
      </w:r>
      <w:r w:rsidRPr="00271A21">
        <w:rPr>
          <w:rFonts w:cs="Arial"/>
        </w:rPr>
        <w:t xml:space="preserve">Ontario is the only province where municipal governments are directed by legislation to play a role in funding and delivering these two health services. </w:t>
      </w:r>
    </w:p>
    <w:p w14:paraId="285B2661" w14:textId="4024FA46" w:rsidR="00554F8D" w:rsidRPr="004635AA" w:rsidRDefault="00554F8D" w:rsidP="00D30B83">
      <w:pPr>
        <w:pStyle w:val="Default"/>
        <w:spacing w:after="120" w:line="276" w:lineRule="auto"/>
        <w:ind w:right="749"/>
        <w:rPr>
          <w:rFonts w:eastAsiaTheme="minorHAnsi"/>
          <w:color w:val="auto"/>
        </w:rPr>
      </w:pPr>
      <w:r w:rsidRPr="004635AA">
        <w:rPr>
          <w:rFonts w:eastAsiaTheme="minorHAnsi"/>
          <w:color w:val="auto"/>
        </w:rPr>
        <w:t xml:space="preserve">In the absence of any signal that the need for fundraising will be reduced by the province, the task force is asked to consider increasing the allocation of own source revenue being placed in reserve annually from </w:t>
      </w:r>
      <w:r w:rsidR="00981A3C" w:rsidRPr="004635AA">
        <w:rPr>
          <w:rFonts w:eastAsiaTheme="minorHAnsi"/>
          <w:color w:val="auto"/>
        </w:rPr>
        <w:t xml:space="preserve">half of 1% to </w:t>
      </w:r>
      <w:r w:rsidR="004635AA" w:rsidRPr="004635AA">
        <w:rPr>
          <w:rFonts w:eastAsiaTheme="minorHAnsi"/>
          <w:color w:val="auto"/>
        </w:rPr>
        <w:t xml:space="preserve">three quarters of 1% </w:t>
      </w:r>
      <w:r w:rsidRPr="004635AA">
        <w:rPr>
          <w:rFonts w:eastAsiaTheme="minorHAnsi"/>
          <w:color w:val="auto"/>
        </w:rPr>
        <w:t xml:space="preserve">in recognition of the growing demand for services and the rising cost of projects.  In </w:t>
      </w:r>
      <w:r w:rsidR="00293A14" w:rsidRPr="004635AA">
        <w:rPr>
          <w:rFonts w:eastAsiaTheme="minorHAnsi"/>
          <w:color w:val="auto"/>
        </w:rPr>
        <w:t>addition,</w:t>
      </w:r>
      <w:r w:rsidRPr="004635AA">
        <w:rPr>
          <w:rFonts w:eastAsiaTheme="minorHAnsi"/>
          <w:color w:val="auto"/>
        </w:rPr>
        <w:t xml:space="preserve"> the task force should adopt eligibility requirements for projects. Projects would be eligible to receive funds from the Grey County Health Care Funding reserve if they are:</w:t>
      </w:r>
    </w:p>
    <w:p w14:paraId="749D0886" w14:textId="616C5F56" w:rsidR="00554F8D" w:rsidRPr="004635AA" w:rsidRDefault="00554F8D" w:rsidP="00D30B83">
      <w:pPr>
        <w:pStyle w:val="Default"/>
        <w:numPr>
          <w:ilvl w:val="0"/>
          <w:numId w:val="46"/>
        </w:numPr>
        <w:spacing w:after="120" w:line="276" w:lineRule="auto"/>
        <w:ind w:left="993" w:right="749" w:hanging="284"/>
        <w:rPr>
          <w:rFonts w:eastAsiaTheme="minorHAnsi"/>
          <w:color w:val="auto"/>
        </w:rPr>
      </w:pPr>
      <w:r w:rsidRPr="004635AA">
        <w:rPr>
          <w:rFonts w:eastAsiaTheme="minorHAnsi"/>
          <w:color w:val="auto"/>
        </w:rPr>
        <w:t>Fund</w:t>
      </w:r>
      <w:r w:rsidR="00544BC2" w:rsidRPr="004635AA">
        <w:rPr>
          <w:rFonts w:eastAsiaTheme="minorHAnsi"/>
          <w:color w:val="auto"/>
        </w:rPr>
        <w:t>ing</w:t>
      </w:r>
      <w:r w:rsidRPr="004635AA">
        <w:rPr>
          <w:rFonts w:eastAsiaTheme="minorHAnsi"/>
          <w:color w:val="auto"/>
        </w:rPr>
        <w:t xml:space="preserve"> capital requirements</w:t>
      </w:r>
    </w:p>
    <w:p w14:paraId="4BDC2790" w14:textId="6637BB82" w:rsidR="00554F8D" w:rsidRPr="004635AA" w:rsidRDefault="00554F8D" w:rsidP="00D30B83">
      <w:pPr>
        <w:pStyle w:val="Default"/>
        <w:numPr>
          <w:ilvl w:val="0"/>
          <w:numId w:val="46"/>
        </w:numPr>
        <w:spacing w:after="120" w:line="276" w:lineRule="auto"/>
        <w:ind w:left="993" w:right="749" w:hanging="284"/>
        <w:rPr>
          <w:rFonts w:eastAsiaTheme="minorHAnsi"/>
          <w:color w:val="auto"/>
        </w:rPr>
      </w:pPr>
      <w:r w:rsidRPr="004635AA">
        <w:rPr>
          <w:rFonts w:eastAsiaTheme="minorHAnsi"/>
          <w:color w:val="auto"/>
        </w:rPr>
        <w:t>Provincially approved</w:t>
      </w:r>
      <w:r w:rsidR="00293A14" w:rsidRPr="004635AA">
        <w:rPr>
          <w:rFonts w:eastAsiaTheme="minorHAnsi"/>
          <w:color w:val="auto"/>
        </w:rPr>
        <w:t xml:space="preserve">, </w:t>
      </w:r>
      <w:r w:rsidRPr="004635AA">
        <w:rPr>
          <w:rFonts w:eastAsiaTheme="minorHAnsi"/>
          <w:color w:val="auto"/>
        </w:rPr>
        <w:t xml:space="preserve">create significant service improvements and respond to identified need with strong support from other </w:t>
      </w:r>
      <w:r w:rsidR="00293A14" w:rsidRPr="004635AA">
        <w:rPr>
          <w:rFonts w:eastAsiaTheme="minorHAnsi"/>
          <w:color w:val="auto"/>
        </w:rPr>
        <w:t>providers in the healthcare sector</w:t>
      </w:r>
    </w:p>
    <w:p w14:paraId="57E68E5C" w14:textId="77777777" w:rsidR="00554F8D" w:rsidRPr="004635AA" w:rsidRDefault="00554F8D" w:rsidP="00D30B83">
      <w:pPr>
        <w:pStyle w:val="Default"/>
        <w:numPr>
          <w:ilvl w:val="0"/>
          <w:numId w:val="46"/>
        </w:numPr>
        <w:spacing w:after="120" w:line="276" w:lineRule="auto"/>
        <w:ind w:left="993" w:right="749" w:hanging="284"/>
        <w:rPr>
          <w:rFonts w:eastAsiaTheme="minorHAnsi"/>
          <w:color w:val="auto"/>
        </w:rPr>
      </w:pPr>
      <w:r w:rsidRPr="004635AA">
        <w:rPr>
          <w:rFonts w:eastAsiaTheme="minorHAnsi"/>
          <w:color w:val="auto"/>
        </w:rPr>
        <w:t xml:space="preserve">Periodic and significant </w:t>
      </w:r>
    </w:p>
    <w:p w14:paraId="42F05176" w14:textId="77777777" w:rsidR="00554F8D" w:rsidRPr="004635AA" w:rsidRDefault="00554F8D" w:rsidP="00D30B83">
      <w:pPr>
        <w:pStyle w:val="Default"/>
        <w:numPr>
          <w:ilvl w:val="0"/>
          <w:numId w:val="46"/>
        </w:numPr>
        <w:spacing w:after="120" w:line="276" w:lineRule="auto"/>
        <w:ind w:left="993" w:right="749" w:hanging="284"/>
        <w:rPr>
          <w:rFonts w:eastAsiaTheme="minorHAnsi"/>
          <w:color w:val="auto"/>
        </w:rPr>
      </w:pPr>
      <w:r w:rsidRPr="004635AA">
        <w:rPr>
          <w:rFonts w:eastAsiaTheme="minorHAnsi"/>
          <w:color w:val="auto"/>
        </w:rPr>
        <w:t>Located in Grey County, or for hospital projects, where Grey County residents represent at least 20% of surgical and inpatient population served</w:t>
      </w:r>
    </w:p>
    <w:p w14:paraId="4B2AF860" w14:textId="77777777" w:rsidR="00893CEB" w:rsidRDefault="00893CEB" w:rsidP="00D30B83">
      <w:pPr>
        <w:pStyle w:val="Heading2"/>
        <w:keepNext w:val="0"/>
        <w:keepLines w:val="0"/>
        <w:widowControl w:val="0"/>
      </w:pPr>
      <w:r>
        <w:t>Background and Discussion</w:t>
      </w:r>
    </w:p>
    <w:p w14:paraId="2A223DA0" w14:textId="77777777" w:rsidR="00554F8D" w:rsidRPr="00271A21" w:rsidRDefault="00554F8D" w:rsidP="00D30B83">
      <w:pPr>
        <w:pStyle w:val="Default"/>
        <w:spacing w:line="276" w:lineRule="auto"/>
        <w:ind w:right="746"/>
        <w:rPr>
          <w:sz w:val="23"/>
          <w:szCs w:val="23"/>
        </w:rPr>
      </w:pPr>
      <w:r w:rsidRPr="00271A21">
        <w:lastRenderedPageBreak/>
        <w:t>The first meeting of the Health Care Funding Taskforce was held November 2019</w:t>
      </w:r>
      <w:r>
        <w:t xml:space="preserve"> and confirmed a workplan</w:t>
      </w:r>
      <w:r w:rsidRPr="00271A21">
        <w:t xml:space="preserve"> committ</w:t>
      </w:r>
      <w:r>
        <w:t>ing</w:t>
      </w:r>
      <w:r w:rsidRPr="00271A21">
        <w:t xml:space="preserve"> to listen to stakeholders and adopt</w:t>
      </w:r>
      <w:r>
        <w:t>ing</w:t>
      </w:r>
      <w:r w:rsidRPr="00271A21">
        <w:t xml:space="preserve"> a mission to develop a health care spending policy that will guide Grey County Council’s decision-making regarding funding requests from health care stakeholders. The </w:t>
      </w:r>
      <w:r>
        <w:t xml:space="preserve">future </w:t>
      </w:r>
      <w:r w:rsidRPr="00271A21">
        <w:t xml:space="preserve">policy </w:t>
      </w:r>
      <w:r>
        <w:t xml:space="preserve">would </w:t>
      </w:r>
      <w:r w:rsidRPr="00271A21">
        <w:t>outline a rationale for where municipal funding should be allocated and the criteria for eligibility</w:t>
      </w:r>
      <w:r>
        <w:t xml:space="preserve"> as well as </w:t>
      </w:r>
      <w:r w:rsidRPr="00271A21">
        <w:rPr>
          <w:sz w:val="23"/>
          <w:szCs w:val="23"/>
        </w:rPr>
        <w:t>maximum annual reserve contributions.</w:t>
      </w:r>
    </w:p>
    <w:p w14:paraId="7EA2FA90" w14:textId="77777777" w:rsidR="00554F8D" w:rsidRPr="00271A21" w:rsidRDefault="00554F8D" w:rsidP="00D30B83">
      <w:pPr>
        <w:pStyle w:val="Default"/>
        <w:spacing w:line="276" w:lineRule="auto"/>
        <w:ind w:right="746"/>
      </w:pPr>
    </w:p>
    <w:p w14:paraId="5F0B4974" w14:textId="3B09B6F5" w:rsidR="00554F8D" w:rsidRPr="00D30B83" w:rsidRDefault="00554F8D" w:rsidP="00D30B83">
      <w:pPr>
        <w:pStyle w:val="Default"/>
        <w:spacing w:line="276" w:lineRule="auto"/>
        <w:ind w:right="746"/>
      </w:pPr>
      <w:r w:rsidRPr="00271A21">
        <w:t>The Taskforce heard from a variety of stakeholders including the three hospital corporations with sites in Grey County (Grey Bruce Health Services, South Bruce Grey Health Centre and Hanover and District Hospital) as well as representatives from the Grey Bruce Ontario Health Team, the joint municipal physician recruitment committee, Georgian College and Saugeen Hospice Inc.  There w</w:t>
      </w:r>
      <w:r>
        <w:t>ere</w:t>
      </w:r>
      <w:r w:rsidRPr="00271A21">
        <w:t xml:space="preserve"> consistent theme</w:t>
      </w:r>
      <w:r>
        <w:t>s</w:t>
      </w:r>
      <w:r w:rsidRPr="00271A21">
        <w:t xml:space="preserve"> in the presentations</w:t>
      </w:r>
      <w:r>
        <w:t>:</w:t>
      </w:r>
      <w:r w:rsidRPr="00271A21">
        <w:t xml:space="preserve"> that fund raising </w:t>
      </w:r>
      <w:r>
        <w:t xml:space="preserve">is both required by the province and </w:t>
      </w:r>
      <w:r w:rsidRPr="00271A21">
        <w:t>critical to getting projects done, the need for fund raising is ongoing</w:t>
      </w:r>
      <w:r>
        <w:t>,</w:t>
      </w:r>
      <w:r w:rsidRPr="00271A21">
        <w:t xml:space="preserve"> and that project costs are rising quickly </w:t>
      </w:r>
      <w:r>
        <w:t xml:space="preserve">and </w:t>
      </w:r>
      <w:r w:rsidRPr="00271A21">
        <w:t xml:space="preserve">escalating the proportionate share to be raised from the public. The task force reviewed the 2019 AMO Partners for a Health Ontario paper and the operating principles behind the Simcoe County Hospital Funding Alliance. </w:t>
      </w:r>
    </w:p>
    <w:p w14:paraId="61FE1D52" w14:textId="2E296B87" w:rsidR="00554F8D" w:rsidRPr="00E03DEE" w:rsidRDefault="00554F8D" w:rsidP="00D30B83">
      <w:pPr>
        <w:pStyle w:val="Heading3"/>
      </w:pPr>
      <w:r w:rsidRPr="00D30B83">
        <w:t>Simcoe County Hospital Alliance</w:t>
      </w:r>
    </w:p>
    <w:p w14:paraId="6CB7CD12" w14:textId="53758380" w:rsidR="00554F8D" w:rsidRPr="00E03DEE" w:rsidRDefault="00554F8D" w:rsidP="00D30B83">
      <w:pPr>
        <w:pStyle w:val="NormalWeb"/>
        <w:spacing w:before="0" w:beforeAutospacing="0" w:after="0" w:afterAutospacing="0" w:line="276" w:lineRule="auto"/>
        <w:ind w:right="746"/>
        <w:rPr>
          <w:rFonts w:ascii="Arial" w:hAnsi="Arial" w:cs="Arial"/>
          <w:sz w:val="24"/>
          <w:szCs w:val="24"/>
        </w:rPr>
      </w:pPr>
      <w:r w:rsidRPr="00E03DEE">
        <w:rPr>
          <w:rFonts w:ascii="Arial" w:hAnsi="Arial" w:cs="Arial"/>
          <w:sz w:val="24"/>
          <w:szCs w:val="24"/>
        </w:rPr>
        <w:t xml:space="preserve">The Simcoe County Hospital Alliance was reviewed as a model that Grey County might learn from in developing its’ policy.  The Simcoe County Hospital Alliance Funding Policy includes Simcoe County area hospitals located within the County as well as hospitals providing a minimum of 20% of their inpatient and day surgery services to Simcoe County residents.  In 2006, a Health Care Strategy Committee completed a review and recommended that Simcoe County Council ensure effective and equitable utilization of County health care tax dollars to help fund health care needs within the County of Simcoe.  As a result of this review, County Council approved continued hospital funding in the amount of $3 million annually to the Simcoe County Hospital Alliance for a ten (10) year period extending from 2007 to 2016. This has been extended twice, first to 2026 and now </w:t>
      </w:r>
      <w:r w:rsidR="00544BC2">
        <w:rPr>
          <w:rFonts w:ascii="Arial" w:hAnsi="Arial" w:cs="Arial"/>
          <w:sz w:val="24"/>
          <w:szCs w:val="24"/>
        </w:rPr>
        <w:t xml:space="preserve">to </w:t>
      </w:r>
      <w:r w:rsidRPr="00E03DEE">
        <w:rPr>
          <w:rFonts w:ascii="Arial" w:hAnsi="Arial" w:cs="Arial"/>
          <w:sz w:val="24"/>
          <w:szCs w:val="24"/>
        </w:rPr>
        <w:t xml:space="preserve">2031. </w:t>
      </w:r>
    </w:p>
    <w:p w14:paraId="62431629" w14:textId="77777777" w:rsidR="00554F8D" w:rsidRPr="00E03DEE" w:rsidRDefault="00554F8D" w:rsidP="00D30B83">
      <w:pPr>
        <w:pStyle w:val="NormalWeb"/>
        <w:spacing w:before="0" w:beforeAutospacing="0" w:after="0" w:afterAutospacing="0" w:line="276" w:lineRule="auto"/>
        <w:ind w:right="746"/>
        <w:rPr>
          <w:rFonts w:ascii="Arial" w:hAnsi="Arial" w:cs="Arial"/>
          <w:sz w:val="24"/>
          <w:szCs w:val="24"/>
        </w:rPr>
      </w:pPr>
    </w:p>
    <w:p w14:paraId="42B60F04" w14:textId="77777777" w:rsidR="00554F8D" w:rsidRPr="00E03DEE" w:rsidRDefault="00554F8D" w:rsidP="00D30B83">
      <w:pPr>
        <w:pStyle w:val="NormalWeb"/>
        <w:spacing w:before="0" w:beforeAutospacing="0" w:after="0" w:afterAutospacing="0" w:line="276" w:lineRule="auto"/>
        <w:ind w:right="746"/>
        <w:rPr>
          <w:rFonts w:ascii="Arial" w:hAnsi="Arial" w:cs="Arial"/>
          <w:sz w:val="24"/>
          <w:szCs w:val="24"/>
        </w:rPr>
      </w:pPr>
      <w:r w:rsidRPr="00E03DEE">
        <w:rPr>
          <w:rFonts w:ascii="Arial" w:hAnsi="Arial" w:cs="Arial"/>
          <w:sz w:val="24"/>
          <w:szCs w:val="24"/>
        </w:rPr>
        <w:t>A senior county staff member sits as a member of the Alliance. County Council representation is required on the board or a committee of each hospital. The hospitals may not seek funding from the member municipalities, only through the County.</w:t>
      </w:r>
      <w:r>
        <w:rPr>
          <w:rFonts w:ascii="Arial" w:hAnsi="Arial" w:cs="Arial"/>
        </w:rPr>
        <w:t xml:space="preserve"> </w:t>
      </w:r>
      <w:r w:rsidRPr="0097702B">
        <w:rPr>
          <w:rFonts w:ascii="Arial" w:hAnsi="Arial" w:cs="Arial"/>
          <w:sz w:val="24"/>
          <w:szCs w:val="24"/>
        </w:rPr>
        <w:t>The capital project must have provincial approval, consultation must have taken place with all other health care sectors in the region and payments are made based on actual, eligible expenses.</w:t>
      </w:r>
    </w:p>
    <w:p w14:paraId="5D6AEA69" w14:textId="77777777" w:rsidR="00554F8D" w:rsidRPr="00271A21" w:rsidRDefault="00554F8D" w:rsidP="00D30B83">
      <w:pPr>
        <w:pStyle w:val="NormalWeb"/>
        <w:spacing w:before="0" w:beforeAutospacing="0" w:after="0" w:afterAutospacing="0" w:line="276" w:lineRule="auto"/>
        <w:ind w:right="746"/>
        <w:rPr>
          <w:rFonts w:ascii="Arial" w:hAnsi="Arial" w:cs="Arial"/>
        </w:rPr>
      </w:pPr>
      <w:r w:rsidRPr="00E03DEE">
        <w:rPr>
          <w:rFonts w:ascii="Arial" w:hAnsi="Arial" w:cs="Arial"/>
          <w:sz w:val="24"/>
          <w:szCs w:val="24"/>
        </w:rPr>
        <w:lastRenderedPageBreak/>
        <w:t> </w:t>
      </w:r>
    </w:p>
    <w:p w14:paraId="14DE7CC0" w14:textId="77B6CDFF" w:rsidR="00554F8D" w:rsidRPr="00D30B83" w:rsidRDefault="00554F8D" w:rsidP="00D30B83">
      <w:pPr>
        <w:shd w:val="clear" w:color="auto" w:fill="FFFFFF"/>
        <w:spacing w:after="0"/>
        <w:ind w:right="746"/>
        <w:rPr>
          <w:rFonts w:eastAsia="Times New Roman" w:cs="Arial"/>
          <w:lang w:val="en-CA" w:eastAsia="en-CA"/>
        </w:rPr>
      </w:pPr>
      <w:r w:rsidRPr="00544BC2">
        <w:rPr>
          <w:rFonts w:eastAsia="Times New Roman" w:cs="Arial"/>
          <w:lang w:val="en-CA" w:eastAsia="en-CA"/>
        </w:rPr>
        <w:t xml:space="preserve">The County is not mandated to provide funding to area hospitals as it is a provincial jurisdiction but does so to support the local healthcare system. To incentivize emergency departments to receive patients in a prompt manner </w:t>
      </w:r>
      <w:r w:rsidR="00293A14" w:rsidRPr="00544BC2">
        <w:rPr>
          <w:rFonts w:eastAsia="Times New Roman" w:cs="Arial"/>
          <w:lang w:val="en-CA" w:eastAsia="en-CA"/>
        </w:rPr>
        <w:t>to</w:t>
      </w:r>
      <w:r w:rsidRPr="00544BC2">
        <w:rPr>
          <w:rFonts w:eastAsia="Times New Roman" w:cs="Arial"/>
          <w:lang w:val="en-CA" w:eastAsia="en-CA"/>
        </w:rPr>
        <w:t> allow Paramedics to be able to respond to the next call, transfer time performance is now measured for each hospital and the value of lost Paramedic time is deducted from the individual hospital’s capital payment by the County for that given year.</w:t>
      </w:r>
    </w:p>
    <w:p w14:paraId="7A649C4A" w14:textId="77777777" w:rsidR="00554F8D" w:rsidRPr="00271A21" w:rsidRDefault="00554F8D" w:rsidP="00D30B83">
      <w:pPr>
        <w:pStyle w:val="Heading3"/>
        <w:rPr>
          <w:b/>
          <w:bCs/>
        </w:rPr>
      </w:pPr>
      <w:r w:rsidRPr="00271A21">
        <w:rPr>
          <w:b/>
          <w:bCs/>
        </w:rPr>
        <w:t>Funding Principles and Rationale</w:t>
      </w:r>
    </w:p>
    <w:p w14:paraId="00CCBE12" w14:textId="77777777" w:rsidR="00554F8D" w:rsidRPr="00271A21" w:rsidRDefault="00554F8D" w:rsidP="00D30B83">
      <w:pPr>
        <w:pStyle w:val="Default"/>
        <w:spacing w:line="276" w:lineRule="auto"/>
        <w:ind w:right="746"/>
        <w:rPr>
          <w:sz w:val="23"/>
          <w:szCs w:val="23"/>
        </w:rPr>
      </w:pPr>
    </w:p>
    <w:p w14:paraId="66798AEC" w14:textId="77777777" w:rsidR="00D30B83" w:rsidRPr="00D30B83" w:rsidRDefault="00554F8D" w:rsidP="00D30B83">
      <w:pPr>
        <w:pStyle w:val="Default"/>
        <w:numPr>
          <w:ilvl w:val="0"/>
          <w:numId w:val="48"/>
        </w:numPr>
        <w:spacing w:after="200" w:line="276" w:lineRule="auto"/>
        <w:ind w:right="746"/>
      </w:pPr>
      <w:r w:rsidRPr="00D30B83">
        <w:t>Grey County has made and will continue to make significant contributions to healthcare delivery through levy allocations to paramedic services, long term care and Grey Bruce Public Health. The County also supports health and wellbeing of residents through levy contributions to Social Services, Children</w:t>
      </w:r>
      <w:r w:rsidR="0097702B" w:rsidRPr="00D30B83">
        <w:t>’</w:t>
      </w:r>
      <w:r w:rsidRPr="00D30B83">
        <w:t>s Services and Social Housing.</w:t>
      </w:r>
    </w:p>
    <w:p w14:paraId="419D4079" w14:textId="7489D33C" w:rsidR="00554F8D" w:rsidRPr="00D30B83" w:rsidRDefault="00554F8D" w:rsidP="00D30B83">
      <w:pPr>
        <w:pStyle w:val="Default"/>
        <w:numPr>
          <w:ilvl w:val="0"/>
          <w:numId w:val="48"/>
        </w:numPr>
        <w:spacing w:after="200" w:line="276" w:lineRule="auto"/>
        <w:ind w:right="746"/>
        <w:rPr>
          <w:lang w:val="en-CA"/>
        </w:rPr>
      </w:pPr>
      <w:r w:rsidRPr="00D30B83">
        <w:t xml:space="preserve">Healthcare funding is a provincial responsibility and Grey County supports AMO’s recommendation that </w:t>
      </w:r>
      <w:r w:rsidRPr="00D30B83">
        <w:rPr>
          <w:lang w:val="en-CA"/>
        </w:rPr>
        <w:t xml:space="preserve">the Province engage AMO and establish a municipal working group to review the future appropriate and value-added municipal role in hospital funding and planning decisions. </w:t>
      </w:r>
      <w:r w:rsidRPr="00D30B83">
        <w:rPr>
          <w:lang w:val="en-CA"/>
        </w:rPr>
        <w:br/>
      </w:r>
      <w:r w:rsidRPr="00D30B83">
        <w:rPr>
          <w:lang w:val="en-CA"/>
        </w:rPr>
        <w:br/>
        <w:t xml:space="preserve">The question of the appropriate role for municipal governments in funding health care capital and equipment has been raised across the province. The current legislated requirements for a 10% share to be raised through donation places a hardship on rural communities who lack the same breadth in assessment base that urban municipalities have. The development of a consistent, defensible policy in this regard would provide a level playing field and facilitate long term planning by both the funder and the project proponent. </w:t>
      </w:r>
    </w:p>
    <w:p w14:paraId="48BF48E9" w14:textId="3D428ABD" w:rsidR="00554F8D" w:rsidRPr="00271A21" w:rsidRDefault="00554F8D" w:rsidP="00D30B83">
      <w:pPr>
        <w:pStyle w:val="Default"/>
        <w:numPr>
          <w:ilvl w:val="0"/>
          <w:numId w:val="48"/>
        </w:numPr>
        <w:spacing w:line="276" w:lineRule="auto"/>
        <w:ind w:right="749"/>
      </w:pPr>
      <w:r w:rsidRPr="00271A21">
        <w:t xml:space="preserve">Grey County will allocate </w:t>
      </w:r>
      <w:r w:rsidR="0097702B">
        <w:t>three quarters of 1</w:t>
      </w:r>
      <w:r w:rsidRPr="00271A21">
        <w:t>% of the own source levy annually to a reserve to fund eligible healthcare projects. Projects are eligible if they are:</w:t>
      </w:r>
    </w:p>
    <w:p w14:paraId="6D5CDC26" w14:textId="4945BAAB" w:rsidR="00554F8D" w:rsidRDefault="00554F8D" w:rsidP="00D30B83">
      <w:pPr>
        <w:pStyle w:val="Default"/>
        <w:numPr>
          <w:ilvl w:val="0"/>
          <w:numId w:val="46"/>
        </w:numPr>
        <w:spacing w:line="276" w:lineRule="auto"/>
        <w:ind w:left="1418" w:right="749" w:hanging="284"/>
      </w:pPr>
      <w:r>
        <w:t>Funding capital</w:t>
      </w:r>
      <w:r w:rsidR="00544BC2">
        <w:t xml:space="preserve"> or equipment</w:t>
      </w:r>
      <w:r>
        <w:t xml:space="preserve"> requirements</w:t>
      </w:r>
    </w:p>
    <w:p w14:paraId="1E767EEA" w14:textId="77777777" w:rsidR="00554F8D" w:rsidRPr="00271A21" w:rsidRDefault="00554F8D" w:rsidP="00D30B83">
      <w:pPr>
        <w:pStyle w:val="Default"/>
        <w:numPr>
          <w:ilvl w:val="0"/>
          <w:numId w:val="46"/>
        </w:numPr>
        <w:spacing w:line="276" w:lineRule="auto"/>
        <w:ind w:left="1418" w:right="749" w:hanging="284"/>
      </w:pPr>
      <w:r w:rsidRPr="00271A21">
        <w:t>Provincially approved, create significant service improvements and respond to identified need</w:t>
      </w:r>
      <w:r>
        <w:t xml:space="preserve"> with strong support from other health care </w:t>
      </w:r>
    </w:p>
    <w:p w14:paraId="42EF9A12" w14:textId="77777777" w:rsidR="00554F8D" w:rsidRPr="00271A21" w:rsidRDefault="00554F8D" w:rsidP="00D30B83">
      <w:pPr>
        <w:pStyle w:val="Default"/>
        <w:numPr>
          <w:ilvl w:val="0"/>
          <w:numId w:val="46"/>
        </w:numPr>
        <w:spacing w:line="276" w:lineRule="auto"/>
        <w:ind w:left="1134" w:right="749" w:firstLine="0"/>
      </w:pPr>
      <w:r w:rsidRPr="00271A21">
        <w:t xml:space="preserve">Periodic and significant </w:t>
      </w:r>
    </w:p>
    <w:p w14:paraId="7CF66DD1" w14:textId="77777777" w:rsidR="00554F8D" w:rsidRDefault="00554F8D" w:rsidP="00D30B83">
      <w:pPr>
        <w:pStyle w:val="Default"/>
        <w:numPr>
          <w:ilvl w:val="0"/>
          <w:numId w:val="46"/>
        </w:numPr>
        <w:spacing w:line="276" w:lineRule="auto"/>
        <w:ind w:left="1418" w:right="749" w:hanging="284"/>
      </w:pPr>
      <w:r w:rsidRPr="00271A21">
        <w:t xml:space="preserve">Located in Grey County, or for hospital projects, where Grey County residents represent at least 20% of surgical and inpatient </w:t>
      </w:r>
      <w:r w:rsidRPr="00271A21">
        <w:lastRenderedPageBreak/>
        <w:t>population served</w:t>
      </w:r>
      <w:r>
        <w:t xml:space="preserve">.  Funding may be allocated on a percent of population served basis. </w:t>
      </w:r>
      <w:r>
        <w:br/>
      </w:r>
    </w:p>
    <w:p w14:paraId="14DFDD7E" w14:textId="48CBD470" w:rsidR="00753DAF" w:rsidRDefault="00554F8D" w:rsidP="00D30B83">
      <w:pPr>
        <w:pStyle w:val="Default"/>
        <w:spacing w:line="276" w:lineRule="auto"/>
        <w:ind w:left="720" w:right="749"/>
      </w:pPr>
      <w:r>
        <w:t>The purpose of the health care funding reserve is recommended to be a source of funds for large</w:t>
      </w:r>
      <w:r w:rsidR="00544BC2">
        <w:t>, capital</w:t>
      </w:r>
      <w:r>
        <w:t xml:space="preserve"> projects that provide a significant public good that will be of benefit beyond the borders of the municipality they are located in. These projects represent long-term investments in infrastructure and have received approval to proceed by the province. Where a hospital or other health care facility is outside of Grey County’s borders, it must demonstrate that at least 20% of those it serves must be Grey County residents. This is aligned with Simcoe County’s policy. </w:t>
      </w:r>
      <w:r w:rsidR="00544BC2">
        <w:t>Operational costs are not eligible for Grey County funding as the province is responsible for allocating funding for these.</w:t>
      </w:r>
    </w:p>
    <w:p w14:paraId="6B40FA45" w14:textId="77777777" w:rsidR="00554F8D" w:rsidRDefault="00554F8D" w:rsidP="00D30B83">
      <w:pPr>
        <w:pStyle w:val="Default"/>
        <w:spacing w:line="276" w:lineRule="auto"/>
        <w:ind w:left="1134" w:right="746"/>
      </w:pPr>
    </w:p>
    <w:p w14:paraId="36CE1E8E" w14:textId="77777777" w:rsidR="00554F8D" w:rsidRDefault="00554F8D" w:rsidP="00A1588D">
      <w:pPr>
        <w:pStyle w:val="Default"/>
        <w:spacing w:line="276" w:lineRule="auto"/>
        <w:ind w:right="746"/>
      </w:pPr>
      <w:r>
        <w:t>Figure 1. Contribution Comparison</w:t>
      </w:r>
    </w:p>
    <w:tbl>
      <w:tblPr>
        <w:tblStyle w:val="TableGrid"/>
        <w:tblW w:w="10243" w:type="dxa"/>
        <w:tblLayout w:type="fixed"/>
        <w:tblLook w:val="04A0" w:firstRow="1" w:lastRow="0" w:firstColumn="1" w:lastColumn="0" w:noHBand="0" w:noVBand="1"/>
      </w:tblPr>
      <w:tblGrid>
        <w:gridCol w:w="2122"/>
        <w:gridCol w:w="1984"/>
        <w:gridCol w:w="1843"/>
        <w:gridCol w:w="2540"/>
        <w:gridCol w:w="1754"/>
      </w:tblGrid>
      <w:tr w:rsidR="00554F8D" w:rsidRPr="00CC587D" w14:paraId="33BEC9E6" w14:textId="77777777" w:rsidTr="00A1588D">
        <w:trPr>
          <w:tblHeader/>
        </w:trPr>
        <w:tc>
          <w:tcPr>
            <w:tcW w:w="2122" w:type="dxa"/>
          </w:tcPr>
          <w:p w14:paraId="1C77003C" w14:textId="77777777" w:rsidR="00554F8D" w:rsidRPr="00520DF3" w:rsidRDefault="00554F8D" w:rsidP="00D30B83">
            <w:pPr>
              <w:spacing w:line="276" w:lineRule="auto"/>
              <w:ind w:right="746"/>
              <w:jc w:val="center"/>
              <w:rPr>
                <w:rStyle w:val="IntenseEmphasis"/>
                <w:rFonts w:cs="Arial"/>
                <w:bCs w:val="0"/>
                <w:sz w:val="20"/>
                <w:szCs w:val="20"/>
              </w:rPr>
            </w:pPr>
          </w:p>
        </w:tc>
        <w:tc>
          <w:tcPr>
            <w:tcW w:w="1984" w:type="dxa"/>
          </w:tcPr>
          <w:p w14:paraId="1C50BEB0" w14:textId="77777777" w:rsidR="00554F8D" w:rsidRPr="00290EC4" w:rsidRDefault="00554F8D" w:rsidP="00D30B83">
            <w:pPr>
              <w:spacing w:line="276" w:lineRule="auto"/>
              <w:ind w:right="111"/>
              <w:jc w:val="center"/>
              <w:rPr>
                <w:rStyle w:val="IntenseEmphasis"/>
                <w:rFonts w:cs="Arial"/>
                <w:bCs w:val="0"/>
                <w:sz w:val="22"/>
                <w:szCs w:val="22"/>
              </w:rPr>
            </w:pPr>
            <w:r w:rsidRPr="00290EC4">
              <w:rPr>
                <w:rStyle w:val="IntenseEmphasis"/>
                <w:rFonts w:cs="Arial"/>
                <w:bCs w:val="0"/>
                <w:sz w:val="22"/>
                <w:szCs w:val="22"/>
              </w:rPr>
              <w:t>Grey</w:t>
            </w:r>
          </w:p>
        </w:tc>
        <w:tc>
          <w:tcPr>
            <w:tcW w:w="1843" w:type="dxa"/>
          </w:tcPr>
          <w:p w14:paraId="60B024F3" w14:textId="77777777" w:rsidR="00554F8D" w:rsidRPr="00290EC4" w:rsidRDefault="00554F8D" w:rsidP="00D30B83">
            <w:pPr>
              <w:spacing w:line="276" w:lineRule="auto"/>
              <w:ind w:right="-107"/>
              <w:jc w:val="center"/>
              <w:rPr>
                <w:rStyle w:val="IntenseEmphasis"/>
                <w:rFonts w:cs="Arial"/>
                <w:bCs w:val="0"/>
                <w:sz w:val="22"/>
                <w:szCs w:val="22"/>
              </w:rPr>
            </w:pPr>
            <w:r w:rsidRPr="00290EC4">
              <w:rPr>
                <w:rStyle w:val="IntenseEmphasis"/>
                <w:rFonts w:cs="Arial"/>
                <w:bCs w:val="0"/>
                <w:sz w:val="22"/>
                <w:szCs w:val="22"/>
              </w:rPr>
              <w:t xml:space="preserve">Simcoe </w:t>
            </w:r>
          </w:p>
        </w:tc>
        <w:tc>
          <w:tcPr>
            <w:tcW w:w="2540" w:type="dxa"/>
          </w:tcPr>
          <w:p w14:paraId="60867543" w14:textId="77777777" w:rsidR="00554F8D" w:rsidRPr="00290EC4" w:rsidRDefault="00554F8D" w:rsidP="00D30B83">
            <w:pPr>
              <w:spacing w:line="276" w:lineRule="auto"/>
              <w:ind w:right="-116"/>
              <w:jc w:val="center"/>
              <w:rPr>
                <w:rStyle w:val="IntenseEmphasis"/>
                <w:rFonts w:cs="Arial"/>
                <w:bCs w:val="0"/>
                <w:sz w:val="22"/>
                <w:szCs w:val="22"/>
              </w:rPr>
            </w:pPr>
            <w:r w:rsidRPr="00290EC4">
              <w:rPr>
                <w:rStyle w:val="IntenseEmphasis"/>
                <w:rFonts w:cs="Arial"/>
                <w:bCs w:val="0"/>
                <w:sz w:val="22"/>
                <w:szCs w:val="22"/>
              </w:rPr>
              <w:t>Northumberland</w:t>
            </w:r>
          </w:p>
        </w:tc>
        <w:tc>
          <w:tcPr>
            <w:tcW w:w="1754" w:type="dxa"/>
          </w:tcPr>
          <w:p w14:paraId="214D7644" w14:textId="77777777" w:rsidR="00554F8D" w:rsidRPr="00290EC4" w:rsidRDefault="00554F8D" w:rsidP="00D30B83">
            <w:pPr>
              <w:spacing w:line="276" w:lineRule="auto"/>
              <w:ind w:right="-59"/>
              <w:jc w:val="center"/>
              <w:rPr>
                <w:rStyle w:val="IntenseEmphasis"/>
                <w:rFonts w:cs="Arial"/>
                <w:bCs w:val="0"/>
                <w:sz w:val="22"/>
                <w:szCs w:val="22"/>
              </w:rPr>
            </w:pPr>
            <w:r w:rsidRPr="00290EC4">
              <w:rPr>
                <w:rStyle w:val="IntenseEmphasis"/>
                <w:rFonts w:cs="Arial"/>
                <w:bCs w:val="0"/>
                <w:sz w:val="22"/>
                <w:szCs w:val="22"/>
              </w:rPr>
              <w:t>Niagara</w:t>
            </w:r>
          </w:p>
        </w:tc>
      </w:tr>
      <w:tr w:rsidR="00554F8D" w:rsidRPr="00CC587D" w14:paraId="34BF18B0" w14:textId="77777777" w:rsidTr="006C763B">
        <w:tc>
          <w:tcPr>
            <w:tcW w:w="2122" w:type="dxa"/>
          </w:tcPr>
          <w:p w14:paraId="39544310" w14:textId="77777777" w:rsidR="00554F8D" w:rsidRPr="00520DF3" w:rsidRDefault="00554F8D" w:rsidP="00D30B83">
            <w:pPr>
              <w:spacing w:line="276" w:lineRule="auto"/>
              <w:ind w:right="746"/>
              <w:rPr>
                <w:rStyle w:val="IntenseEmphasis"/>
                <w:rFonts w:cs="Arial"/>
                <w:bCs w:val="0"/>
                <w:sz w:val="20"/>
                <w:szCs w:val="20"/>
              </w:rPr>
            </w:pPr>
            <w:r w:rsidRPr="00520DF3">
              <w:rPr>
                <w:rStyle w:val="IntenseEmphasis"/>
                <w:rFonts w:cs="Arial"/>
                <w:bCs w:val="0"/>
                <w:sz w:val="20"/>
                <w:szCs w:val="20"/>
              </w:rPr>
              <w:t>Population</w:t>
            </w:r>
          </w:p>
        </w:tc>
        <w:tc>
          <w:tcPr>
            <w:tcW w:w="1984" w:type="dxa"/>
          </w:tcPr>
          <w:p w14:paraId="709D93BA" w14:textId="77777777" w:rsidR="00554F8D" w:rsidRPr="00CC587D" w:rsidRDefault="00554F8D" w:rsidP="00D30B83">
            <w:pPr>
              <w:spacing w:line="276" w:lineRule="auto"/>
              <w:ind w:right="286"/>
              <w:jc w:val="right"/>
              <w:rPr>
                <w:rStyle w:val="IntenseEmphasis"/>
                <w:rFonts w:cs="Arial"/>
                <w:b w:val="0"/>
                <w:sz w:val="22"/>
                <w:szCs w:val="22"/>
              </w:rPr>
            </w:pPr>
            <w:r w:rsidRPr="00CC587D">
              <w:rPr>
                <w:rStyle w:val="IntenseEmphasis"/>
                <w:rFonts w:cs="Arial"/>
                <w:b w:val="0"/>
                <w:sz w:val="22"/>
                <w:szCs w:val="22"/>
              </w:rPr>
              <w:t>100,000</w:t>
            </w:r>
          </w:p>
        </w:tc>
        <w:tc>
          <w:tcPr>
            <w:tcW w:w="1843" w:type="dxa"/>
          </w:tcPr>
          <w:p w14:paraId="68393B62" w14:textId="77777777" w:rsidR="00554F8D" w:rsidRPr="00CC587D" w:rsidRDefault="00554F8D" w:rsidP="00D30B83">
            <w:pPr>
              <w:tabs>
                <w:tab w:val="left" w:pos="753"/>
              </w:tabs>
              <w:spacing w:line="276" w:lineRule="auto"/>
              <w:ind w:right="35"/>
              <w:jc w:val="right"/>
              <w:rPr>
                <w:rStyle w:val="IntenseEmphasis"/>
                <w:rFonts w:cs="Arial"/>
                <w:b w:val="0"/>
                <w:sz w:val="22"/>
                <w:szCs w:val="22"/>
              </w:rPr>
            </w:pPr>
            <w:r w:rsidRPr="00CC587D">
              <w:rPr>
                <w:rStyle w:val="IntenseEmphasis"/>
                <w:rFonts w:cs="Arial"/>
                <w:b w:val="0"/>
                <w:sz w:val="22"/>
                <w:szCs w:val="22"/>
              </w:rPr>
              <w:t>479,650</w:t>
            </w:r>
          </w:p>
        </w:tc>
        <w:tc>
          <w:tcPr>
            <w:tcW w:w="2540" w:type="dxa"/>
          </w:tcPr>
          <w:p w14:paraId="76A7FF55" w14:textId="77777777" w:rsidR="00554F8D" w:rsidRPr="00CC587D" w:rsidRDefault="00554F8D" w:rsidP="00D30B83">
            <w:pPr>
              <w:spacing w:line="276" w:lineRule="auto"/>
              <w:ind w:right="527"/>
              <w:jc w:val="right"/>
              <w:rPr>
                <w:rStyle w:val="IntenseEmphasis"/>
                <w:rFonts w:cs="Arial"/>
                <w:b w:val="0"/>
                <w:sz w:val="22"/>
                <w:szCs w:val="22"/>
              </w:rPr>
            </w:pPr>
            <w:r w:rsidRPr="00CC587D">
              <w:rPr>
                <w:rStyle w:val="IntenseEmphasis"/>
                <w:rFonts w:cs="Arial"/>
                <w:b w:val="0"/>
                <w:sz w:val="22"/>
                <w:szCs w:val="22"/>
              </w:rPr>
              <w:t>86,000</w:t>
            </w:r>
          </w:p>
        </w:tc>
        <w:tc>
          <w:tcPr>
            <w:tcW w:w="1754" w:type="dxa"/>
          </w:tcPr>
          <w:p w14:paraId="25FB4CD4" w14:textId="77777777" w:rsidR="00554F8D" w:rsidRPr="00CC587D" w:rsidRDefault="00554F8D" w:rsidP="00D30B83">
            <w:pPr>
              <w:spacing w:line="276" w:lineRule="auto"/>
              <w:ind w:right="38"/>
              <w:jc w:val="right"/>
              <w:rPr>
                <w:rStyle w:val="IntenseEmphasis"/>
                <w:rFonts w:cs="Arial"/>
                <w:b w:val="0"/>
                <w:sz w:val="22"/>
                <w:szCs w:val="22"/>
              </w:rPr>
            </w:pPr>
            <w:r w:rsidRPr="00CC587D">
              <w:rPr>
                <w:rStyle w:val="IntenseEmphasis"/>
                <w:rFonts w:cs="Arial"/>
                <w:b w:val="0"/>
                <w:sz w:val="22"/>
                <w:szCs w:val="22"/>
              </w:rPr>
              <w:t>481,727</w:t>
            </w:r>
          </w:p>
        </w:tc>
      </w:tr>
      <w:tr w:rsidR="00554F8D" w:rsidRPr="00CC587D" w14:paraId="0D227134" w14:textId="77777777" w:rsidTr="006C763B">
        <w:tc>
          <w:tcPr>
            <w:tcW w:w="2122" w:type="dxa"/>
          </w:tcPr>
          <w:p w14:paraId="2222F035" w14:textId="77777777" w:rsidR="00554F8D" w:rsidRPr="00520DF3" w:rsidRDefault="00554F8D" w:rsidP="00D30B83">
            <w:pPr>
              <w:spacing w:line="276" w:lineRule="auto"/>
              <w:ind w:right="-109"/>
              <w:rPr>
                <w:rStyle w:val="IntenseEmphasis"/>
                <w:rFonts w:cs="Arial"/>
                <w:bCs w:val="0"/>
                <w:sz w:val="20"/>
                <w:szCs w:val="20"/>
              </w:rPr>
            </w:pPr>
            <w:r w:rsidRPr="00520DF3">
              <w:rPr>
                <w:rStyle w:val="IntenseEmphasis"/>
                <w:rFonts w:cs="Arial"/>
                <w:bCs w:val="0"/>
                <w:sz w:val="20"/>
                <w:szCs w:val="20"/>
              </w:rPr>
              <w:t>Total Annual Budget</w:t>
            </w:r>
          </w:p>
        </w:tc>
        <w:tc>
          <w:tcPr>
            <w:tcW w:w="1984" w:type="dxa"/>
          </w:tcPr>
          <w:p w14:paraId="3165D3AF" w14:textId="77777777" w:rsidR="00554F8D" w:rsidRPr="00CC587D" w:rsidRDefault="00554F8D" w:rsidP="00D30B83">
            <w:pPr>
              <w:spacing w:line="276" w:lineRule="auto"/>
              <w:ind w:right="286"/>
              <w:jc w:val="right"/>
              <w:rPr>
                <w:rStyle w:val="IntenseEmphasis"/>
                <w:rFonts w:cs="Arial"/>
                <w:b w:val="0"/>
                <w:sz w:val="22"/>
                <w:szCs w:val="22"/>
              </w:rPr>
            </w:pPr>
            <w:r>
              <w:rPr>
                <w:rStyle w:val="IntenseEmphasis"/>
                <w:rFonts w:cs="Arial"/>
                <w:b w:val="0"/>
                <w:sz w:val="22"/>
                <w:szCs w:val="22"/>
              </w:rPr>
              <w:t>$</w:t>
            </w:r>
            <w:r w:rsidRPr="00CC587D">
              <w:rPr>
                <w:rStyle w:val="IntenseEmphasis"/>
                <w:rFonts w:cs="Arial"/>
                <w:b w:val="0"/>
                <w:sz w:val="22"/>
                <w:szCs w:val="22"/>
              </w:rPr>
              <w:t>171</w:t>
            </w:r>
            <w:r>
              <w:rPr>
                <w:rStyle w:val="IntenseEmphasis"/>
                <w:rFonts w:cs="Arial"/>
                <w:b w:val="0"/>
                <w:sz w:val="22"/>
                <w:szCs w:val="22"/>
              </w:rPr>
              <w:t>,</w:t>
            </w:r>
            <w:r w:rsidRPr="00CC587D">
              <w:rPr>
                <w:rStyle w:val="IntenseEmphasis"/>
                <w:rFonts w:cs="Arial"/>
                <w:b w:val="0"/>
                <w:sz w:val="22"/>
                <w:szCs w:val="22"/>
              </w:rPr>
              <w:t>2</w:t>
            </w:r>
            <w:r>
              <w:rPr>
                <w:rStyle w:val="IntenseEmphasis"/>
                <w:rFonts w:cs="Arial"/>
                <w:b w:val="0"/>
                <w:sz w:val="22"/>
                <w:szCs w:val="22"/>
              </w:rPr>
              <w:t>00,000</w:t>
            </w:r>
          </w:p>
        </w:tc>
        <w:tc>
          <w:tcPr>
            <w:tcW w:w="1843" w:type="dxa"/>
          </w:tcPr>
          <w:p w14:paraId="2A769D6B" w14:textId="77777777" w:rsidR="00554F8D" w:rsidRPr="00CC587D" w:rsidRDefault="00554F8D" w:rsidP="00D30B83">
            <w:pPr>
              <w:tabs>
                <w:tab w:val="left" w:pos="753"/>
              </w:tabs>
              <w:spacing w:line="276" w:lineRule="auto"/>
              <w:jc w:val="right"/>
              <w:rPr>
                <w:rStyle w:val="IntenseEmphasis"/>
                <w:rFonts w:cs="Arial"/>
                <w:b w:val="0"/>
                <w:sz w:val="22"/>
                <w:szCs w:val="22"/>
              </w:rPr>
            </w:pPr>
            <w:r>
              <w:rPr>
                <w:rStyle w:val="IntenseEmphasis"/>
                <w:rFonts w:cs="Arial"/>
                <w:b w:val="0"/>
                <w:sz w:val="22"/>
                <w:szCs w:val="22"/>
              </w:rPr>
              <w:t>$</w:t>
            </w:r>
            <w:r w:rsidRPr="00CC587D">
              <w:rPr>
                <w:rStyle w:val="IntenseEmphasis"/>
                <w:rFonts w:cs="Arial"/>
                <w:b w:val="0"/>
                <w:sz w:val="22"/>
                <w:szCs w:val="22"/>
              </w:rPr>
              <w:t>572</w:t>
            </w:r>
            <w:r>
              <w:rPr>
                <w:rStyle w:val="IntenseEmphasis"/>
                <w:rFonts w:cs="Arial"/>
                <w:b w:val="0"/>
                <w:sz w:val="22"/>
                <w:szCs w:val="22"/>
              </w:rPr>
              <w:t>,000,000</w:t>
            </w:r>
          </w:p>
        </w:tc>
        <w:tc>
          <w:tcPr>
            <w:tcW w:w="2540" w:type="dxa"/>
          </w:tcPr>
          <w:p w14:paraId="2381D83B" w14:textId="77777777" w:rsidR="00554F8D" w:rsidRPr="00CC587D" w:rsidRDefault="00554F8D" w:rsidP="00D30B83">
            <w:pPr>
              <w:spacing w:line="276" w:lineRule="auto"/>
              <w:ind w:right="527"/>
              <w:jc w:val="right"/>
              <w:rPr>
                <w:rStyle w:val="IntenseEmphasis"/>
                <w:rFonts w:cs="Arial"/>
                <w:b w:val="0"/>
                <w:sz w:val="22"/>
                <w:szCs w:val="22"/>
              </w:rPr>
            </w:pPr>
            <w:r>
              <w:rPr>
                <w:rStyle w:val="IntenseEmphasis"/>
                <w:rFonts w:cs="Arial"/>
                <w:b w:val="0"/>
                <w:sz w:val="22"/>
                <w:szCs w:val="22"/>
              </w:rPr>
              <w:t>$</w:t>
            </w:r>
            <w:r w:rsidRPr="00CC587D">
              <w:rPr>
                <w:rStyle w:val="IntenseEmphasis"/>
                <w:rFonts w:cs="Arial"/>
                <w:b w:val="0"/>
                <w:sz w:val="22"/>
                <w:szCs w:val="22"/>
              </w:rPr>
              <w:t>188</w:t>
            </w:r>
            <w:r>
              <w:rPr>
                <w:rStyle w:val="IntenseEmphasis"/>
                <w:rFonts w:cs="Arial"/>
                <w:b w:val="0"/>
                <w:sz w:val="22"/>
                <w:szCs w:val="22"/>
              </w:rPr>
              <w:t>,</w:t>
            </w:r>
            <w:r w:rsidRPr="00CC587D">
              <w:rPr>
                <w:rStyle w:val="IntenseEmphasis"/>
                <w:rFonts w:cs="Arial"/>
                <w:b w:val="0"/>
                <w:sz w:val="22"/>
                <w:szCs w:val="22"/>
              </w:rPr>
              <w:t>4</w:t>
            </w:r>
            <w:r>
              <w:rPr>
                <w:rStyle w:val="IntenseEmphasis"/>
                <w:rFonts w:cs="Arial"/>
                <w:b w:val="0"/>
                <w:sz w:val="22"/>
                <w:szCs w:val="22"/>
              </w:rPr>
              <w:t>00,000</w:t>
            </w:r>
          </w:p>
        </w:tc>
        <w:tc>
          <w:tcPr>
            <w:tcW w:w="1754" w:type="dxa"/>
          </w:tcPr>
          <w:p w14:paraId="4751186A" w14:textId="77777777" w:rsidR="00554F8D" w:rsidRPr="00CC587D" w:rsidRDefault="00554F8D" w:rsidP="00D30B83">
            <w:pPr>
              <w:spacing w:line="276" w:lineRule="auto"/>
              <w:ind w:right="38"/>
              <w:jc w:val="right"/>
              <w:rPr>
                <w:rStyle w:val="IntenseEmphasis"/>
                <w:rFonts w:cs="Arial"/>
                <w:b w:val="0"/>
                <w:sz w:val="22"/>
                <w:szCs w:val="22"/>
              </w:rPr>
            </w:pPr>
            <w:r>
              <w:rPr>
                <w:rStyle w:val="IntenseEmphasis"/>
                <w:rFonts w:cs="Arial"/>
                <w:b w:val="0"/>
                <w:sz w:val="22"/>
                <w:szCs w:val="22"/>
              </w:rPr>
              <w:t>$</w:t>
            </w:r>
            <w:r w:rsidRPr="00CC587D">
              <w:rPr>
                <w:rStyle w:val="IntenseEmphasis"/>
                <w:rFonts w:cs="Arial"/>
                <w:b w:val="0"/>
                <w:sz w:val="22"/>
                <w:szCs w:val="22"/>
              </w:rPr>
              <w:t>905</w:t>
            </w:r>
            <w:r>
              <w:rPr>
                <w:rStyle w:val="IntenseEmphasis"/>
                <w:rFonts w:cs="Arial"/>
                <w:b w:val="0"/>
                <w:sz w:val="22"/>
                <w:szCs w:val="22"/>
              </w:rPr>
              <w:t>,</w:t>
            </w:r>
            <w:r w:rsidRPr="00CC587D">
              <w:rPr>
                <w:rStyle w:val="IntenseEmphasis"/>
                <w:rFonts w:cs="Arial"/>
                <w:b w:val="0"/>
                <w:sz w:val="22"/>
                <w:szCs w:val="22"/>
              </w:rPr>
              <w:t>3</w:t>
            </w:r>
            <w:r>
              <w:rPr>
                <w:rStyle w:val="IntenseEmphasis"/>
                <w:rFonts w:cs="Arial"/>
                <w:b w:val="0"/>
                <w:sz w:val="22"/>
                <w:szCs w:val="22"/>
              </w:rPr>
              <w:t>00,000</w:t>
            </w:r>
          </w:p>
        </w:tc>
      </w:tr>
      <w:tr w:rsidR="00554F8D" w:rsidRPr="00CC587D" w14:paraId="22DA7EA8" w14:textId="77777777" w:rsidTr="006C763B">
        <w:tc>
          <w:tcPr>
            <w:tcW w:w="2122" w:type="dxa"/>
          </w:tcPr>
          <w:p w14:paraId="7D5D916F" w14:textId="77777777" w:rsidR="00554F8D" w:rsidRPr="00520DF3" w:rsidRDefault="00554F8D" w:rsidP="00D30B83">
            <w:pPr>
              <w:spacing w:line="276" w:lineRule="auto"/>
              <w:rPr>
                <w:rStyle w:val="IntenseEmphasis"/>
                <w:rFonts w:cs="Arial"/>
                <w:bCs w:val="0"/>
                <w:sz w:val="20"/>
                <w:szCs w:val="20"/>
              </w:rPr>
            </w:pPr>
            <w:r w:rsidRPr="00520DF3">
              <w:rPr>
                <w:rStyle w:val="IntenseEmphasis"/>
                <w:rFonts w:cs="Arial"/>
                <w:bCs w:val="0"/>
                <w:sz w:val="20"/>
                <w:szCs w:val="20"/>
              </w:rPr>
              <w:t>2021 Levy</w:t>
            </w:r>
          </w:p>
        </w:tc>
        <w:tc>
          <w:tcPr>
            <w:tcW w:w="1984" w:type="dxa"/>
          </w:tcPr>
          <w:p w14:paraId="09A13C59" w14:textId="77777777" w:rsidR="00554F8D" w:rsidRPr="00CC587D" w:rsidRDefault="00554F8D" w:rsidP="00D30B83">
            <w:pPr>
              <w:spacing w:line="276" w:lineRule="auto"/>
              <w:ind w:right="286"/>
              <w:jc w:val="right"/>
              <w:rPr>
                <w:rStyle w:val="IntenseEmphasis"/>
                <w:rFonts w:cs="Arial"/>
                <w:b w:val="0"/>
                <w:sz w:val="22"/>
                <w:szCs w:val="22"/>
              </w:rPr>
            </w:pPr>
            <w:r>
              <w:rPr>
                <w:rStyle w:val="IntenseEmphasis"/>
                <w:rFonts w:cs="Arial"/>
                <w:b w:val="0"/>
                <w:sz w:val="22"/>
                <w:szCs w:val="22"/>
              </w:rPr>
              <w:t>$</w:t>
            </w:r>
            <w:r w:rsidRPr="00CC587D">
              <w:rPr>
                <w:rStyle w:val="IntenseEmphasis"/>
                <w:rFonts w:cs="Arial"/>
                <w:b w:val="0"/>
                <w:sz w:val="22"/>
                <w:szCs w:val="22"/>
              </w:rPr>
              <w:t>62</w:t>
            </w:r>
            <w:r>
              <w:rPr>
                <w:rStyle w:val="IntenseEmphasis"/>
                <w:rFonts w:cs="Arial"/>
                <w:b w:val="0"/>
                <w:sz w:val="22"/>
                <w:szCs w:val="22"/>
              </w:rPr>
              <w:t>,</w:t>
            </w:r>
            <w:r w:rsidRPr="00CC587D">
              <w:rPr>
                <w:rStyle w:val="IntenseEmphasis"/>
                <w:rFonts w:cs="Arial"/>
                <w:b w:val="0"/>
                <w:sz w:val="22"/>
                <w:szCs w:val="22"/>
              </w:rPr>
              <w:t>3</w:t>
            </w:r>
            <w:r>
              <w:rPr>
                <w:rStyle w:val="IntenseEmphasis"/>
                <w:rFonts w:cs="Arial"/>
                <w:b w:val="0"/>
                <w:sz w:val="22"/>
                <w:szCs w:val="22"/>
              </w:rPr>
              <w:t>00,000</w:t>
            </w:r>
          </w:p>
        </w:tc>
        <w:tc>
          <w:tcPr>
            <w:tcW w:w="1843" w:type="dxa"/>
          </w:tcPr>
          <w:p w14:paraId="0994E0E7" w14:textId="77777777" w:rsidR="00554F8D" w:rsidRPr="00CC587D" w:rsidRDefault="00554F8D" w:rsidP="00D30B83">
            <w:pPr>
              <w:tabs>
                <w:tab w:val="left" w:pos="753"/>
              </w:tabs>
              <w:spacing w:line="276" w:lineRule="auto"/>
              <w:jc w:val="right"/>
              <w:rPr>
                <w:rStyle w:val="IntenseEmphasis"/>
                <w:rFonts w:cs="Arial"/>
                <w:b w:val="0"/>
                <w:sz w:val="22"/>
                <w:szCs w:val="22"/>
              </w:rPr>
            </w:pPr>
            <w:r>
              <w:rPr>
                <w:rStyle w:val="IntenseEmphasis"/>
                <w:rFonts w:cs="Arial"/>
                <w:b w:val="0"/>
                <w:sz w:val="22"/>
                <w:szCs w:val="22"/>
              </w:rPr>
              <w:t>$</w:t>
            </w:r>
            <w:r w:rsidRPr="00CC587D">
              <w:rPr>
                <w:rStyle w:val="IntenseEmphasis"/>
                <w:rFonts w:cs="Arial"/>
                <w:b w:val="0"/>
                <w:sz w:val="22"/>
                <w:szCs w:val="22"/>
              </w:rPr>
              <w:t>185</w:t>
            </w:r>
            <w:r>
              <w:rPr>
                <w:rStyle w:val="IntenseEmphasis"/>
                <w:rFonts w:cs="Arial"/>
                <w:b w:val="0"/>
                <w:sz w:val="22"/>
                <w:szCs w:val="22"/>
              </w:rPr>
              <w:t>,000,000</w:t>
            </w:r>
          </w:p>
        </w:tc>
        <w:tc>
          <w:tcPr>
            <w:tcW w:w="2540" w:type="dxa"/>
          </w:tcPr>
          <w:p w14:paraId="2F84A4BB" w14:textId="77777777" w:rsidR="00554F8D" w:rsidRPr="00CC587D" w:rsidRDefault="00554F8D" w:rsidP="00D30B83">
            <w:pPr>
              <w:spacing w:line="276" w:lineRule="auto"/>
              <w:ind w:right="527"/>
              <w:jc w:val="right"/>
              <w:rPr>
                <w:rStyle w:val="IntenseEmphasis"/>
                <w:rFonts w:cs="Arial"/>
                <w:b w:val="0"/>
                <w:sz w:val="22"/>
                <w:szCs w:val="22"/>
              </w:rPr>
            </w:pPr>
            <w:r>
              <w:rPr>
                <w:rStyle w:val="IntenseEmphasis"/>
                <w:rFonts w:cs="Arial"/>
                <w:b w:val="0"/>
                <w:sz w:val="22"/>
                <w:szCs w:val="22"/>
              </w:rPr>
              <w:t>$</w:t>
            </w:r>
            <w:r w:rsidRPr="00CC587D">
              <w:rPr>
                <w:rStyle w:val="IntenseEmphasis"/>
                <w:rFonts w:cs="Arial"/>
                <w:b w:val="0"/>
                <w:sz w:val="22"/>
                <w:szCs w:val="22"/>
              </w:rPr>
              <w:t>60</w:t>
            </w:r>
            <w:r>
              <w:rPr>
                <w:rStyle w:val="IntenseEmphasis"/>
                <w:rFonts w:cs="Arial"/>
                <w:b w:val="0"/>
                <w:sz w:val="22"/>
                <w:szCs w:val="22"/>
              </w:rPr>
              <w:t>,</w:t>
            </w:r>
            <w:r w:rsidRPr="00CC587D">
              <w:rPr>
                <w:rStyle w:val="IntenseEmphasis"/>
                <w:rFonts w:cs="Arial"/>
                <w:b w:val="0"/>
                <w:sz w:val="22"/>
                <w:szCs w:val="22"/>
              </w:rPr>
              <w:t>4</w:t>
            </w:r>
            <w:r>
              <w:rPr>
                <w:rStyle w:val="IntenseEmphasis"/>
                <w:rFonts w:cs="Arial"/>
                <w:b w:val="0"/>
                <w:sz w:val="22"/>
                <w:szCs w:val="22"/>
              </w:rPr>
              <w:t>00,000</w:t>
            </w:r>
          </w:p>
        </w:tc>
        <w:tc>
          <w:tcPr>
            <w:tcW w:w="1754" w:type="dxa"/>
          </w:tcPr>
          <w:p w14:paraId="0EB07739" w14:textId="77777777" w:rsidR="00554F8D" w:rsidRPr="00CC587D" w:rsidRDefault="00554F8D" w:rsidP="00D30B83">
            <w:pPr>
              <w:spacing w:line="276" w:lineRule="auto"/>
              <w:ind w:right="38"/>
              <w:jc w:val="right"/>
              <w:rPr>
                <w:rStyle w:val="IntenseEmphasis"/>
                <w:rFonts w:cs="Arial"/>
                <w:b w:val="0"/>
                <w:sz w:val="22"/>
                <w:szCs w:val="22"/>
              </w:rPr>
            </w:pPr>
            <w:r>
              <w:rPr>
                <w:rStyle w:val="IntenseEmphasis"/>
                <w:rFonts w:cs="Arial"/>
                <w:b w:val="0"/>
                <w:sz w:val="22"/>
                <w:szCs w:val="22"/>
              </w:rPr>
              <w:t>$</w:t>
            </w:r>
            <w:r w:rsidRPr="00CC587D">
              <w:rPr>
                <w:rStyle w:val="IntenseEmphasis"/>
                <w:rFonts w:cs="Arial"/>
                <w:b w:val="0"/>
                <w:sz w:val="22"/>
                <w:szCs w:val="22"/>
              </w:rPr>
              <w:t>405</w:t>
            </w:r>
            <w:r>
              <w:rPr>
                <w:rStyle w:val="IntenseEmphasis"/>
                <w:rFonts w:cs="Arial"/>
                <w:b w:val="0"/>
                <w:sz w:val="22"/>
                <w:szCs w:val="22"/>
              </w:rPr>
              <w:t>,000,000</w:t>
            </w:r>
          </w:p>
        </w:tc>
      </w:tr>
      <w:tr w:rsidR="00554F8D" w:rsidRPr="00CC587D" w14:paraId="17F4D91D" w14:textId="77777777" w:rsidTr="006C763B">
        <w:tc>
          <w:tcPr>
            <w:tcW w:w="2122" w:type="dxa"/>
          </w:tcPr>
          <w:p w14:paraId="3339A84E" w14:textId="77777777" w:rsidR="00554F8D" w:rsidRPr="00520DF3" w:rsidRDefault="00554F8D" w:rsidP="00D30B83">
            <w:pPr>
              <w:spacing w:line="276" w:lineRule="auto"/>
              <w:ind w:right="-109"/>
              <w:rPr>
                <w:rStyle w:val="IntenseEmphasis"/>
                <w:rFonts w:cs="Arial"/>
                <w:bCs w:val="0"/>
                <w:sz w:val="20"/>
                <w:szCs w:val="20"/>
              </w:rPr>
            </w:pPr>
            <w:r w:rsidRPr="00520DF3">
              <w:rPr>
                <w:rStyle w:val="IntenseEmphasis"/>
                <w:rFonts w:cs="Arial"/>
                <w:bCs w:val="0"/>
                <w:sz w:val="20"/>
                <w:szCs w:val="20"/>
              </w:rPr>
              <w:t>Healthcare/Hospital contribution</w:t>
            </w:r>
          </w:p>
        </w:tc>
        <w:tc>
          <w:tcPr>
            <w:tcW w:w="1984" w:type="dxa"/>
          </w:tcPr>
          <w:p w14:paraId="45FA97CB" w14:textId="5ED045A3" w:rsidR="00554F8D" w:rsidRPr="00CC587D" w:rsidRDefault="00554F8D" w:rsidP="00D30B83">
            <w:pPr>
              <w:spacing w:line="276" w:lineRule="auto"/>
              <w:ind w:right="286"/>
              <w:jc w:val="right"/>
              <w:rPr>
                <w:rStyle w:val="IntenseEmphasis"/>
                <w:rFonts w:cs="Arial"/>
                <w:b w:val="0"/>
                <w:sz w:val="22"/>
                <w:szCs w:val="22"/>
              </w:rPr>
            </w:pPr>
            <w:r w:rsidRPr="0097702B">
              <w:rPr>
                <w:rStyle w:val="IntenseEmphasis"/>
                <w:rFonts w:cs="Arial"/>
                <w:b w:val="0"/>
                <w:sz w:val="22"/>
                <w:szCs w:val="22"/>
              </w:rPr>
              <w:t>$</w:t>
            </w:r>
            <w:r w:rsidR="0097702B" w:rsidRPr="0097702B">
              <w:rPr>
                <w:rStyle w:val="IntenseEmphasis"/>
                <w:rFonts w:cs="Arial"/>
                <w:b w:val="0"/>
                <w:sz w:val="22"/>
                <w:szCs w:val="22"/>
              </w:rPr>
              <w:t>299,100</w:t>
            </w:r>
          </w:p>
        </w:tc>
        <w:tc>
          <w:tcPr>
            <w:tcW w:w="1843" w:type="dxa"/>
          </w:tcPr>
          <w:p w14:paraId="399E3052" w14:textId="77777777" w:rsidR="00554F8D" w:rsidRPr="00CC587D" w:rsidRDefault="00554F8D" w:rsidP="00D30B83">
            <w:pPr>
              <w:tabs>
                <w:tab w:val="left" w:pos="753"/>
              </w:tabs>
              <w:spacing w:line="276" w:lineRule="auto"/>
              <w:jc w:val="right"/>
              <w:rPr>
                <w:rStyle w:val="IntenseEmphasis"/>
                <w:rFonts w:cs="Arial"/>
                <w:b w:val="0"/>
                <w:sz w:val="22"/>
                <w:szCs w:val="22"/>
              </w:rPr>
            </w:pPr>
            <w:r>
              <w:rPr>
                <w:rStyle w:val="IntenseEmphasis"/>
                <w:rFonts w:cs="Arial"/>
                <w:b w:val="0"/>
                <w:sz w:val="22"/>
                <w:szCs w:val="22"/>
              </w:rPr>
              <w:t>$</w:t>
            </w:r>
            <w:r w:rsidRPr="00CC587D">
              <w:rPr>
                <w:rStyle w:val="IntenseEmphasis"/>
                <w:rFonts w:cs="Arial"/>
                <w:b w:val="0"/>
                <w:sz w:val="22"/>
                <w:szCs w:val="22"/>
              </w:rPr>
              <w:t>3</w:t>
            </w:r>
            <w:r>
              <w:rPr>
                <w:rStyle w:val="IntenseEmphasis"/>
                <w:rFonts w:cs="Arial"/>
                <w:b w:val="0"/>
                <w:sz w:val="22"/>
                <w:szCs w:val="22"/>
              </w:rPr>
              <w:t>,000,000</w:t>
            </w:r>
          </w:p>
        </w:tc>
        <w:tc>
          <w:tcPr>
            <w:tcW w:w="2540" w:type="dxa"/>
          </w:tcPr>
          <w:p w14:paraId="04B09102" w14:textId="77777777" w:rsidR="00554F8D" w:rsidRPr="00CC587D" w:rsidRDefault="00554F8D" w:rsidP="00D30B83">
            <w:pPr>
              <w:spacing w:line="276" w:lineRule="auto"/>
              <w:ind w:right="527"/>
              <w:jc w:val="right"/>
              <w:rPr>
                <w:rStyle w:val="IntenseEmphasis"/>
                <w:rFonts w:cs="Arial"/>
                <w:b w:val="0"/>
                <w:sz w:val="22"/>
                <w:szCs w:val="22"/>
              </w:rPr>
            </w:pPr>
            <w:r>
              <w:rPr>
                <w:rStyle w:val="IntenseEmphasis"/>
                <w:rFonts w:cs="Arial"/>
                <w:b w:val="0"/>
                <w:sz w:val="22"/>
                <w:szCs w:val="22"/>
              </w:rPr>
              <w:t>$</w:t>
            </w:r>
            <w:r w:rsidRPr="00CC587D">
              <w:rPr>
                <w:rStyle w:val="IntenseEmphasis"/>
                <w:rFonts w:cs="Arial"/>
                <w:b w:val="0"/>
                <w:sz w:val="22"/>
                <w:szCs w:val="22"/>
              </w:rPr>
              <w:t>250</w:t>
            </w:r>
            <w:r>
              <w:rPr>
                <w:rStyle w:val="IntenseEmphasis"/>
                <w:rFonts w:cs="Arial"/>
                <w:b w:val="0"/>
                <w:sz w:val="22"/>
                <w:szCs w:val="22"/>
              </w:rPr>
              <w:t>,000</w:t>
            </w:r>
          </w:p>
        </w:tc>
        <w:tc>
          <w:tcPr>
            <w:tcW w:w="1754" w:type="dxa"/>
          </w:tcPr>
          <w:p w14:paraId="04B7BDB1" w14:textId="77777777" w:rsidR="00554F8D" w:rsidRPr="00CC587D" w:rsidRDefault="00554F8D" w:rsidP="00D30B83">
            <w:pPr>
              <w:spacing w:line="276" w:lineRule="auto"/>
              <w:ind w:right="38"/>
              <w:jc w:val="right"/>
              <w:rPr>
                <w:rStyle w:val="IntenseEmphasis"/>
                <w:rFonts w:cs="Arial"/>
                <w:b w:val="0"/>
                <w:sz w:val="22"/>
                <w:szCs w:val="22"/>
              </w:rPr>
            </w:pPr>
            <w:r>
              <w:rPr>
                <w:rStyle w:val="IntenseEmphasis"/>
                <w:rFonts w:cs="Arial"/>
                <w:b w:val="0"/>
                <w:sz w:val="22"/>
                <w:szCs w:val="22"/>
              </w:rPr>
              <w:t>$1,500,000</w:t>
            </w:r>
          </w:p>
        </w:tc>
      </w:tr>
      <w:tr w:rsidR="00554F8D" w:rsidRPr="00CC587D" w14:paraId="493373A5" w14:textId="77777777" w:rsidTr="006C763B">
        <w:tc>
          <w:tcPr>
            <w:tcW w:w="2122" w:type="dxa"/>
          </w:tcPr>
          <w:p w14:paraId="2739EEA6" w14:textId="77777777" w:rsidR="00554F8D" w:rsidRPr="00520DF3" w:rsidRDefault="00554F8D" w:rsidP="00D30B83">
            <w:pPr>
              <w:spacing w:line="276" w:lineRule="auto"/>
              <w:rPr>
                <w:rStyle w:val="IntenseEmphasis"/>
                <w:rFonts w:cs="Arial"/>
                <w:bCs w:val="0"/>
                <w:sz w:val="20"/>
                <w:szCs w:val="20"/>
              </w:rPr>
            </w:pPr>
            <w:r w:rsidRPr="00520DF3">
              <w:rPr>
                <w:rStyle w:val="IntenseEmphasis"/>
                <w:rFonts w:cs="Arial"/>
                <w:bCs w:val="0"/>
                <w:sz w:val="20"/>
                <w:szCs w:val="20"/>
              </w:rPr>
              <w:t>Contribution per capita</w:t>
            </w:r>
          </w:p>
        </w:tc>
        <w:tc>
          <w:tcPr>
            <w:tcW w:w="1984" w:type="dxa"/>
          </w:tcPr>
          <w:p w14:paraId="74852A39" w14:textId="77777777" w:rsidR="00554F8D" w:rsidRPr="00CC587D" w:rsidRDefault="00554F8D" w:rsidP="00D30B83">
            <w:pPr>
              <w:spacing w:line="276" w:lineRule="auto"/>
              <w:ind w:right="286"/>
              <w:jc w:val="right"/>
              <w:rPr>
                <w:rStyle w:val="IntenseEmphasis"/>
                <w:rFonts w:cs="Arial"/>
                <w:b w:val="0"/>
                <w:sz w:val="22"/>
                <w:szCs w:val="22"/>
              </w:rPr>
            </w:pPr>
            <w:r w:rsidRPr="00CC587D">
              <w:rPr>
                <w:rStyle w:val="IntenseEmphasis"/>
                <w:rFonts w:cs="Arial"/>
                <w:b w:val="0"/>
                <w:sz w:val="22"/>
                <w:szCs w:val="22"/>
              </w:rPr>
              <w:t>$3.00</w:t>
            </w:r>
          </w:p>
        </w:tc>
        <w:tc>
          <w:tcPr>
            <w:tcW w:w="1843" w:type="dxa"/>
          </w:tcPr>
          <w:p w14:paraId="33B1B755" w14:textId="77777777" w:rsidR="00554F8D" w:rsidRPr="00CC587D" w:rsidRDefault="00554F8D" w:rsidP="00D30B83">
            <w:pPr>
              <w:tabs>
                <w:tab w:val="left" w:pos="753"/>
              </w:tabs>
              <w:spacing w:line="276" w:lineRule="auto"/>
              <w:ind w:right="198"/>
              <w:jc w:val="right"/>
              <w:rPr>
                <w:rStyle w:val="IntenseEmphasis"/>
                <w:rFonts w:cs="Arial"/>
                <w:b w:val="0"/>
                <w:sz w:val="22"/>
                <w:szCs w:val="22"/>
              </w:rPr>
            </w:pPr>
            <w:r w:rsidRPr="00CC587D">
              <w:rPr>
                <w:rStyle w:val="IntenseEmphasis"/>
                <w:rFonts w:cs="Arial"/>
                <w:b w:val="0"/>
                <w:sz w:val="22"/>
                <w:szCs w:val="22"/>
              </w:rPr>
              <w:t>$6.25</w:t>
            </w:r>
          </w:p>
        </w:tc>
        <w:tc>
          <w:tcPr>
            <w:tcW w:w="2540" w:type="dxa"/>
          </w:tcPr>
          <w:p w14:paraId="43D2FDA3" w14:textId="77777777" w:rsidR="00554F8D" w:rsidRPr="00CC587D" w:rsidRDefault="00554F8D" w:rsidP="00D30B83">
            <w:pPr>
              <w:spacing w:line="276" w:lineRule="auto"/>
              <w:ind w:right="527"/>
              <w:jc w:val="right"/>
              <w:rPr>
                <w:rStyle w:val="IntenseEmphasis"/>
                <w:rFonts w:cs="Arial"/>
                <w:b w:val="0"/>
                <w:sz w:val="22"/>
                <w:szCs w:val="22"/>
              </w:rPr>
            </w:pPr>
            <w:r w:rsidRPr="00CC587D">
              <w:rPr>
                <w:rStyle w:val="IntenseEmphasis"/>
                <w:rFonts w:cs="Arial"/>
                <w:b w:val="0"/>
                <w:sz w:val="22"/>
                <w:szCs w:val="22"/>
              </w:rPr>
              <w:t>$2.91</w:t>
            </w:r>
          </w:p>
        </w:tc>
        <w:tc>
          <w:tcPr>
            <w:tcW w:w="1754" w:type="dxa"/>
          </w:tcPr>
          <w:p w14:paraId="1059342E" w14:textId="77777777" w:rsidR="00554F8D" w:rsidRPr="00CC587D" w:rsidRDefault="00554F8D" w:rsidP="00D30B83">
            <w:pPr>
              <w:spacing w:line="276" w:lineRule="auto"/>
              <w:ind w:right="38"/>
              <w:jc w:val="right"/>
              <w:rPr>
                <w:rStyle w:val="IntenseEmphasis"/>
                <w:rFonts w:cs="Arial"/>
                <w:b w:val="0"/>
                <w:sz w:val="22"/>
                <w:szCs w:val="22"/>
              </w:rPr>
            </w:pPr>
            <w:r w:rsidRPr="00CC587D">
              <w:rPr>
                <w:rStyle w:val="IntenseEmphasis"/>
                <w:rFonts w:cs="Arial"/>
                <w:b w:val="0"/>
                <w:sz w:val="22"/>
                <w:szCs w:val="22"/>
              </w:rPr>
              <w:t>$3.11</w:t>
            </w:r>
          </w:p>
        </w:tc>
      </w:tr>
      <w:tr w:rsidR="00554F8D" w:rsidRPr="00CC587D" w14:paraId="1C739754" w14:textId="77777777" w:rsidTr="006C763B">
        <w:tc>
          <w:tcPr>
            <w:tcW w:w="2122" w:type="dxa"/>
          </w:tcPr>
          <w:p w14:paraId="55E85DDA" w14:textId="77777777" w:rsidR="00554F8D" w:rsidRPr="00520DF3" w:rsidRDefault="00554F8D" w:rsidP="00D30B83">
            <w:pPr>
              <w:spacing w:line="276" w:lineRule="auto"/>
              <w:rPr>
                <w:rStyle w:val="IntenseEmphasis"/>
                <w:rFonts w:cs="Arial"/>
                <w:bCs w:val="0"/>
                <w:sz w:val="20"/>
                <w:szCs w:val="20"/>
              </w:rPr>
            </w:pPr>
            <w:r w:rsidRPr="00520DF3">
              <w:rPr>
                <w:rStyle w:val="IntenseEmphasis"/>
                <w:rFonts w:cs="Arial"/>
                <w:bCs w:val="0"/>
                <w:sz w:val="20"/>
                <w:szCs w:val="20"/>
              </w:rPr>
              <w:t>Contribution as a percent of levy</w:t>
            </w:r>
          </w:p>
        </w:tc>
        <w:tc>
          <w:tcPr>
            <w:tcW w:w="1984" w:type="dxa"/>
          </w:tcPr>
          <w:p w14:paraId="4E655706" w14:textId="77777777" w:rsidR="00554F8D" w:rsidRPr="00CC587D" w:rsidRDefault="00554F8D" w:rsidP="00D30B83">
            <w:pPr>
              <w:spacing w:line="276" w:lineRule="auto"/>
              <w:ind w:right="286"/>
              <w:jc w:val="right"/>
              <w:rPr>
                <w:rStyle w:val="IntenseEmphasis"/>
                <w:rFonts w:cs="Arial"/>
                <w:b w:val="0"/>
                <w:sz w:val="22"/>
                <w:szCs w:val="22"/>
              </w:rPr>
            </w:pPr>
            <w:r w:rsidRPr="00CC587D">
              <w:rPr>
                <w:rStyle w:val="IntenseEmphasis"/>
                <w:rFonts w:cs="Arial"/>
                <w:b w:val="0"/>
                <w:sz w:val="22"/>
                <w:szCs w:val="22"/>
              </w:rPr>
              <w:t>0.50%</w:t>
            </w:r>
          </w:p>
        </w:tc>
        <w:tc>
          <w:tcPr>
            <w:tcW w:w="1843" w:type="dxa"/>
          </w:tcPr>
          <w:p w14:paraId="20C8716D" w14:textId="77777777" w:rsidR="00554F8D" w:rsidRPr="00CC587D" w:rsidRDefault="00554F8D" w:rsidP="00D30B83">
            <w:pPr>
              <w:tabs>
                <w:tab w:val="left" w:pos="753"/>
              </w:tabs>
              <w:spacing w:line="276" w:lineRule="auto"/>
              <w:ind w:right="198"/>
              <w:jc w:val="right"/>
              <w:rPr>
                <w:rStyle w:val="IntenseEmphasis"/>
                <w:rFonts w:cs="Arial"/>
                <w:b w:val="0"/>
                <w:sz w:val="22"/>
                <w:szCs w:val="22"/>
              </w:rPr>
            </w:pPr>
            <w:r w:rsidRPr="00CC587D">
              <w:rPr>
                <w:rStyle w:val="IntenseEmphasis"/>
                <w:rFonts w:cs="Arial"/>
                <w:b w:val="0"/>
                <w:sz w:val="22"/>
                <w:szCs w:val="22"/>
              </w:rPr>
              <w:t>1.62%</w:t>
            </w:r>
          </w:p>
        </w:tc>
        <w:tc>
          <w:tcPr>
            <w:tcW w:w="2540" w:type="dxa"/>
          </w:tcPr>
          <w:p w14:paraId="44B419D2" w14:textId="77777777" w:rsidR="00554F8D" w:rsidRPr="00CC587D" w:rsidRDefault="00554F8D" w:rsidP="00D30B83">
            <w:pPr>
              <w:spacing w:line="276" w:lineRule="auto"/>
              <w:ind w:right="527"/>
              <w:jc w:val="right"/>
              <w:rPr>
                <w:rStyle w:val="IntenseEmphasis"/>
                <w:rFonts w:cs="Arial"/>
                <w:b w:val="0"/>
                <w:sz w:val="22"/>
                <w:szCs w:val="22"/>
              </w:rPr>
            </w:pPr>
            <w:r w:rsidRPr="00CC587D">
              <w:rPr>
                <w:rStyle w:val="IntenseEmphasis"/>
                <w:rFonts w:cs="Arial"/>
                <w:b w:val="0"/>
                <w:sz w:val="22"/>
                <w:szCs w:val="22"/>
              </w:rPr>
              <w:t>0.413%</w:t>
            </w:r>
          </w:p>
        </w:tc>
        <w:tc>
          <w:tcPr>
            <w:tcW w:w="1754" w:type="dxa"/>
          </w:tcPr>
          <w:p w14:paraId="4C4F621C" w14:textId="77777777" w:rsidR="00554F8D" w:rsidRPr="00CC587D" w:rsidRDefault="00554F8D" w:rsidP="00D30B83">
            <w:pPr>
              <w:spacing w:line="276" w:lineRule="auto"/>
              <w:ind w:right="38"/>
              <w:jc w:val="right"/>
              <w:rPr>
                <w:rStyle w:val="IntenseEmphasis"/>
                <w:rFonts w:cs="Arial"/>
                <w:b w:val="0"/>
                <w:sz w:val="22"/>
                <w:szCs w:val="22"/>
              </w:rPr>
            </w:pPr>
            <w:r w:rsidRPr="00CC587D">
              <w:rPr>
                <w:rStyle w:val="IntenseEmphasis"/>
                <w:rFonts w:cs="Arial"/>
                <w:b w:val="0"/>
                <w:sz w:val="22"/>
                <w:szCs w:val="22"/>
              </w:rPr>
              <w:t>0.37%</w:t>
            </w:r>
          </w:p>
        </w:tc>
      </w:tr>
    </w:tbl>
    <w:p w14:paraId="0B8609AA" w14:textId="2C5AFA49" w:rsidR="00554F8D" w:rsidRPr="00271A21" w:rsidRDefault="00554F8D" w:rsidP="00A1588D">
      <w:pPr>
        <w:pStyle w:val="Default"/>
        <w:spacing w:before="240" w:line="276" w:lineRule="auto"/>
        <w:ind w:left="720" w:right="749"/>
        <w:rPr>
          <w:rStyle w:val="IntenseEmphasis"/>
          <w:b w:val="0"/>
        </w:rPr>
      </w:pPr>
      <w:r>
        <w:rPr>
          <w:rStyle w:val="IntenseEmphasis"/>
          <w:b w:val="0"/>
        </w:rPr>
        <w:t xml:space="preserve">At the proposed levy contribution of </w:t>
      </w:r>
      <w:r w:rsidR="0097702B">
        <w:rPr>
          <w:rStyle w:val="IntenseEmphasis"/>
          <w:b w:val="0"/>
        </w:rPr>
        <w:t>three quarters of 1</w:t>
      </w:r>
      <w:r>
        <w:rPr>
          <w:rStyle w:val="IntenseEmphasis"/>
          <w:b w:val="0"/>
        </w:rPr>
        <w:t xml:space="preserve">% of own source revenue, in </w:t>
      </w:r>
      <w:r w:rsidRPr="00E32543">
        <w:rPr>
          <w:rStyle w:val="IntenseEmphasis"/>
          <w:b w:val="0"/>
        </w:rPr>
        <w:t>2021 Grey’s contribution to reserve would have been $4</w:t>
      </w:r>
      <w:r w:rsidR="0097702B" w:rsidRPr="00E32543">
        <w:rPr>
          <w:rStyle w:val="IntenseEmphasis"/>
          <w:b w:val="0"/>
        </w:rPr>
        <w:t>48,600</w:t>
      </w:r>
      <w:r w:rsidRPr="00E32543">
        <w:rPr>
          <w:rStyle w:val="IntenseEmphasis"/>
          <w:b w:val="0"/>
        </w:rPr>
        <w:t xml:space="preserve"> or $4.</w:t>
      </w:r>
      <w:r w:rsidR="00E32543" w:rsidRPr="00E32543">
        <w:rPr>
          <w:rStyle w:val="IntenseEmphasis"/>
          <w:b w:val="0"/>
        </w:rPr>
        <w:t>46</w:t>
      </w:r>
      <w:r w:rsidRPr="00E32543">
        <w:rPr>
          <w:rStyle w:val="IntenseEmphasis"/>
          <w:b w:val="0"/>
        </w:rPr>
        <w:t xml:space="preserve"> per resident.</w:t>
      </w:r>
      <w:r w:rsidR="00544BC2">
        <w:rPr>
          <w:rStyle w:val="IntenseEmphasis"/>
          <w:b w:val="0"/>
        </w:rPr>
        <w:t xml:space="preserve"> Given the periodic nature of large capital and equipment requirements, this level of contribution by the County </w:t>
      </w:r>
      <w:r w:rsidR="00544BC2" w:rsidRPr="008D478A">
        <w:rPr>
          <w:rStyle w:val="IntenseEmphasis"/>
          <w:b w:val="0"/>
        </w:rPr>
        <w:t xml:space="preserve">could </w:t>
      </w:r>
      <w:r w:rsidR="0020062B" w:rsidRPr="008D478A">
        <w:rPr>
          <w:rStyle w:val="IntenseEmphasis"/>
          <w:b w:val="0"/>
        </w:rPr>
        <w:t>build a reserve to support future requests.</w:t>
      </w:r>
    </w:p>
    <w:p w14:paraId="302D69EB" w14:textId="7BE663DE" w:rsidR="00554F8D" w:rsidRDefault="00554F8D" w:rsidP="00D30B83">
      <w:pPr>
        <w:pStyle w:val="Default"/>
        <w:spacing w:line="276" w:lineRule="auto"/>
        <w:ind w:left="1134" w:right="746"/>
      </w:pPr>
    </w:p>
    <w:p w14:paraId="4FF88929" w14:textId="77777777" w:rsidR="00D30B83" w:rsidRDefault="00554F8D" w:rsidP="00D30B83">
      <w:pPr>
        <w:pStyle w:val="Default"/>
        <w:numPr>
          <w:ilvl w:val="0"/>
          <w:numId w:val="48"/>
        </w:numPr>
        <w:tabs>
          <w:tab w:val="left" w:pos="1418"/>
        </w:tabs>
        <w:spacing w:after="200" w:line="276" w:lineRule="auto"/>
        <w:ind w:right="746"/>
      </w:pPr>
      <w:r>
        <w:t xml:space="preserve">Project proponents seeking funding from the health care funding reserve are required to make their request to Council in writing by June. They will be considered for inclusion in the budget the following year. </w:t>
      </w:r>
    </w:p>
    <w:p w14:paraId="658C964C" w14:textId="16C2BCB1" w:rsidR="00D30B83" w:rsidRDefault="00293A14" w:rsidP="00D30B83">
      <w:pPr>
        <w:pStyle w:val="Default"/>
        <w:tabs>
          <w:tab w:val="left" w:pos="1418"/>
        </w:tabs>
        <w:spacing w:after="200" w:line="276" w:lineRule="auto"/>
        <w:ind w:left="720" w:right="746"/>
      </w:pPr>
      <w:r>
        <w:t xml:space="preserve">This timeline gives Council time to consider and provide direction regarding the ask. </w:t>
      </w:r>
      <w:r w:rsidR="00554F8D">
        <w:t>I</w:t>
      </w:r>
      <w:r>
        <w:t xml:space="preserve">t also gives </w:t>
      </w:r>
      <w:r w:rsidR="00554F8D">
        <w:t xml:space="preserve">staff </w:t>
      </w:r>
      <w:r>
        <w:t xml:space="preserve">time ahead of budget </w:t>
      </w:r>
      <w:r w:rsidR="00554F8D">
        <w:t>to ensure the reserve is not over subscribed and to appropriately plan for disbursement of funds</w:t>
      </w:r>
      <w:r>
        <w:t>.</w:t>
      </w:r>
    </w:p>
    <w:p w14:paraId="51AC9044" w14:textId="77ED4C14" w:rsidR="00554F8D" w:rsidRPr="00937D8D" w:rsidRDefault="00554F8D" w:rsidP="006A4519">
      <w:pPr>
        <w:pStyle w:val="Default"/>
        <w:widowControl w:val="0"/>
        <w:numPr>
          <w:ilvl w:val="0"/>
          <w:numId w:val="48"/>
        </w:numPr>
        <w:tabs>
          <w:tab w:val="left" w:pos="1418"/>
        </w:tabs>
        <w:spacing w:after="200" w:line="276" w:lineRule="auto"/>
        <w:ind w:right="746"/>
      </w:pPr>
      <w:r>
        <w:t xml:space="preserve">Projects that do not meet the eligibility requirements for funding from the healthcare funding reserve may still come before Council as a delegation </w:t>
      </w:r>
      <w:r>
        <w:lastRenderedPageBreak/>
        <w:t xml:space="preserve">to make a funding request. </w:t>
      </w:r>
    </w:p>
    <w:p w14:paraId="642753B9" w14:textId="77777777" w:rsidR="00554F8D" w:rsidRPr="00271A21" w:rsidRDefault="00554F8D" w:rsidP="006A4519">
      <w:pPr>
        <w:pStyle w:val="Heading3"/>
        <w:widowControl w:val="0"/>
      </w:pPr>
      <w:r w:rsidRPr="00271A21">
        <w:t>Outstanding Funding Requests</w:t>
      </w:r>
    </w:p>
    <w:p w14:paraId="0B290237" w14:textId="4EE30EAC" w:rsidR="00293A14" w:rsidRDefault="00293A14" w:rsidP="006A4519">
      <w:pPr>
        <w:widowControl w:val="0"/>
        <w:ind w:right="746"/>
        <w:rPr>
          <w:rStyle w:val="IntenseEmphasis"/>
          <w:rFonts w:cs="Arial"/>
          <w:b w:val="0"/>
        </w:rPr>
      </w:pPr>
      <w:r>
        <w:rPr>
          <w:rStyle w:val="IntenseEmphasis"/>
          <w:rFonts w:cs="Arial"/>
          <w:b w:val="0"/>
        </w:rPr>
        <w:t xml:space="preserve">Over the course of the taskforce deliberations, there have been </w:t>
      </w:r>
      <w:r w:rsidR="00D30B83">
        <w:rPr>
          <w:rStyle w:val="IntenseEmphasis"/>
          <w:rFonts w:cs="Arial"/>
          <w:b w:val="0"/>
        </w:rPr>
        <w:t>six</w:t>
      </w:r>
      <w:r w:rsidR="008D478A">
        <w:rPr>
          <w:rStyle w:val="IntenseEmphasis"/>
          <w:rFonts w:cs="Arial"/>
          <w:b w:val="0"/>
        </w:rPr>
        <w:t xml:space="preserve"> </w:t>
      </w:r>
      <w:r>
        <w:rPr>
          <w:rStyle w:val="IntenseEmphasis"/>
          <w:rFonts w:cs="Arial"/>
          <w:b w:val="0"/>
        </w:rPr>
        <w:t>requests made for funding that have not received a decision.</w:t>
      </w:r>
    </w:p>
    <w:p w14:paraId="05143A9C" w14:textId="77777777" w:rsidR="00D30B83" w:rsidRDefault="00293A14" w:rsidP="006A4519">
      <w:pPr>
        <w:pStyle w:val="ListParagraph"/>
        <w:widowControl w:val="0"/>
        <w:numPr>
          <w:ilvl w:val="0"/>
          <w:numId w:val="49"/>
        </w:numPr>
        <w:ind w:right="749"/>
        <w:contextualSpacing w:val="0"/>
        <w:rPr>
          <w:rStyle w:val="IntenseEmphasis"/>
          <w:rFonts w:cs="Arial"/>
          <w:b w:val="0"/>
        </w:rPr>
      </w:pPr>
      <w:r w:rsidRPr="00F54E1E">
        <w:rPr>
          <w:rStyle w:val="IntenseEmphasis"/>
          <w:rFonts w:cs="Arial"/>
          <w:b w:val="0"/>
        </w:rPr>
        <w:t xml:space="preserve">Collingwood General and Marine Hospital made a delegation in September 2018 looking for $3,000,000 over 10 years for their redevelopment project. In August of 2021, the project received provincial approval to move to Stage 2 of the redevelopment process and received $15,000,000.  </w:t>
      </w:r>
      <w:r w:rsidR="00F54E1E" w:rsidRPr="00F54E1E">
        <w:rPr>
          <w:rStyle w:val="IntenseEmphasis"/>
          <w:rFonts w:cs="Arial"/>
          <w:b w:val="0"/>
        </w:rPr>
        <w:t xml:space="preserve">At the time of the delegation Grey County residents as portion of total patients was below the 20% threshold being recommended in the </w:t>
      </w:r>
      <w:r w:rsidR="00F54E1E">
        <w:rPr>
          <w:rStyle w:val="IntenseEmphasis"/>
          <w:rFonts w:cs="Arial"/>
          <w:b w:val="0"/>
        </w:rPr>
        <w:t xml:space="preserve">funding </w:t>
      </w:r>
      <w:r w:rsidR="00F54E1E" w:rsidRPr="00F54E1E">
        <w:rPr>
          <w:rStyle w:val="IntenseEmphasis"/>
          <w:rFonts w:cs="Arial"/>
          <w:b w:val="0"/>
        </w:rPr>
        <w:t>policy</w:t>
      </w:r>
      <w:r w:rsidR="00F54E1E">
        <w:rPr>
          <w:rStyle w:val="IntenseEmphasis"/>
          <w:rFonts w:cs="Arial"/>
          <w:b w:val="0"/>
        </w:rPr>
        <w:t>.</w:t>
      </w:r>
    </w:p>
    <w:p w14:paraId="48B1B4B5" w14:textId="77777777" w:rsidR="00D30B83" w:rsidRDefault="00F54E1E" w:rsidP="00D30B83">
      <w:pPr>
        <w:pStyle w:val="ListParagraph"/>
        <w:ind w:right="749"/>
        <w:contextualSpacing w:val="0"/>
        <w:rPr>
          <w:rStyle w:val="IntenseEmphasis"/>
          <w:rFonts w:cs="Arial"/>
          <w:b w:val="0"/>
        </w:rPr>
      </w:pPr>
      <w:r>
        <w:rPr>
          <w:rStyle w:val="IntenseEmphasis"/>
          <w:rFonts w:cs="Arial"/>
          <w:b w:val="0"/>
        </w:rPr>
        <w:t xml:space="preserve">Staff recommend sending a letter to CGMH </w:t>
      </w:r>
      <w:r w:rsidR="00ED6544">
        <w:rPr>
          <w:rStyle w:val="IntenseEmphasis"/>
          <w:rFonts w:cs="Arial"/>
          <w:b w:val="0"/>
        </w:rPr>
        <w:t xml:space="preserve">updating them on the funding policy, </w:t>
      </w:r>
      <w:r>
        <w:rPr>
          <w:rStyle w:val="IntenseEmphasis"/>
          <w:rFonts w:cs="Arial"/>
          <w:b w:val="0"/>
        </w:rPr>
        <w:t xml:space="preserve">asking for current patient place of residence </w:t>
      </w:r>
      <w:r w:rsidR="00ED6544">
        <w:rPr>
          <w:rStyle w:val="IntenseEmphasis"/>
          <w:rFonts w:cs="Arial"/>
          <w:b w:val="0"/>
        </w:rPr>
        <w:t>percentages and an update on the project. An updated funding request could be considered as part of the 2023 budget.</w:t>
      </w:r>
    </w:p>
    <w:p w14:paraId="18409EF7" w14:textId="2AE5B085" w:rsidR="00554F8D" w:rsidRPr="00ED6544" w:rsidRDefault="00554F8D" w:rsidP="00D30B83">
      <w:pPr>
        <w:pStyle w:val="ListParagraph"/>
        <w:numPr>
          <w:ilvl w:val="0"/>
          <w:numId w:val="49"/>
        </w:numPr>
        <w:ind w:right="749"/>
        <w:contextualSpacing w:val="0"/>
        <w:rPr>
          <w:rStyle w:val="IntenseEmphasis"/>
          <w:rFonts w:cs="Arial"/>
          <w:b w:val="0"/>
        </w:rPr>
      </w:pPr>
      <w:r w:rsidRPr="00ED6544">
        <w:rPr>
          <w:rStyle w:val="IntenseEmphasis"/>
          <w:rFonts w:cs="Arial"/>
          <w:b w:val="0"/>
        </w:rPr>
        <w:t>The Town of the Blue Mountains Joint Physician Recruitment and Retention Committee met with the task force on October 19,</w:t>
      </w:r>
      <w:r w:rsidR="00E32543">
        <w:rPr>
          <w:rStyle w:val="IntenseEmphasis"/>
          <w:rFonts w:cs="Arial"/>
          <w:b w:val="0"/>
        </w:rPr>
        <w:t xml:space="preserve"> </w:t>
      </w:r>
      <w:r w:rsidRPr="00ED6544">
        <w:rPr>
          <w:rStyle w:val="IntenseEmphasis"/>
          <w:rFonts w:cs="Arial"/>
          <w:b w:val="0"/>
        </w:rPr>
        <w:t>2021 and requested $250,000 to support:</w:t>
      </w:r>
    </w:p>
    <w:p w14:paraId="021F15DE" w14:textId="77777777" w:rsidR="00554F8D" w:rsidRPr="00271A21" w:rsidRDefault="00554F8D" w:rsidP="00D30B83">
      <w:pPr>
        <w:pStyle w:val="Default"/>
        <w:numPr>
          <w:ilvl w:val="0"/>
          <w:numId w:val="46"/>
        </w:numPr>
        <w:spacing w:line="276" w:lineRule="auto"/>
        <w:ind w:left="1418" w:right="749" w:hanging="284"/>
        <w:rPr>
          <w:rStyle w:val="IntenseEmphasis"/>
          <w:b w:val="0"/>
        </w:rPr>
      </w:pPr>
      <w:r w:rsidRPr="00271A21">
        <w:rPr>
          <w:rStyle w:val="IntenseEmphasis"/>
          <w:b w:val="0"/>
        </w:rPr>
        <w:t>a dedicated resource to work with the Rural Ontario Medical Program</w:t>
      </w:r>
    </w:p>
    <w:p w14:paraId="7D969899" w14:textId="77777777" w:rsidR="00554F8D" w:rsidRPr="00271A21" w:rsidRDefault="00554F8D" w:rsidP="00D30B83">
      <w:pPr>
        <w:pStyle w:val="Default"/>
        <w:numPr>
          <w:ilvl w:val="0"/>
          <w:numId w:val="46"/>
        </w:numPr>
        <w:spacing w:line="276" w:lineRule="auto"/>
        <w:ind w:left="1418" w:right="749" w:hanging="284"/>
        <w:rPr>
          <w:rStyle w:val="IntenseEmphasis"/>
          <w:b w:val="0"/>
        </w:rPr>
      </w:pPr>
      <w:r w:rsidRPr="00271A21">
        <w:rPr>
          <w:rStyle w:val="IntenseEmphasis"/>
          <w:b w:val="0"/>
        </w:rPr>
        <w:t>attraction efforts for 1</w:t>
      </w:r>
      <w:r w:rsidRPr="00D30B83">
        <w:rPr>
          <w:rStyle w:val="IntenseEmphasis"/>
          <w:b w:val="0"/>
        </w:rPr>
        <w:t>st</w:t>
      </w:r>
      <w:r w:rsidRPr="00271A21">
        <w:rPr>
          <w:rStyle w:val="IntenseEmphasis"/>
          <w:b w:val="0"/>
        </w:rPr>
        <w:t xml:space="preserve"> year medical students</w:t>
      </w:r>
    </w:p>
    <w:p w14:paraId="15691335" w14:textId="77777777" w:rsidR="00554F8D" w:rsidRPr="00271A21" w:rsidRDefault="00554F8D" w:rsidP="00D30B83">
      <w:pPr>
        <w:pStyle w:val="Default"/>
        <w:numPr>
          <w:ilvl w:val="0"/>
          <w:numId w:val="46"/>
        </w:numPr>
        <w:spacing w:line="276" w:lineRule="auto"/>
        <w:ind w:left="1418" w:right="749" w:hanging="284"/>
        <w:rPr>
          <w:rStyle w:val="IntenseEmphasis"/>
          <w:b w:val="0"/>
        </w:rPr>
      </w:pPr>
      <w:r w:rsidRPr="00271A21">
        <w:rPr>
          <w:rStyle w:val="IntenseEmphasis"/>
          <w:b w:val="0"/>
        </w:rPr>
        <w:t xml:space="preserve">medical summer students to work on a project to identify opportunities for the Owen Sound and Georgian Bay Family Health Teams to expand mental health and seniors care services </w:t>
      </w:r>
    </w:p>
    <w:p w14:paraId="7B1298C4" w14:textId="77777777" w:rsidR="00554F8D" w:rsidRPr="00271A21" w:rsidRDefault="00554F8D" w:rsidP="00D30B83">
      <w:pPr>
        <w:pStyle w:val="Default"/>
        <w:numPr>
          <w:ilvl w:val="0"/>
          <w:numId w:val="46"/>
        </w:numPr>
        <w:spacing w:line="276" w:lineRule="auto"/>
        <w:ind w:left="1418" w:right="749" w:hanging="284"/>
        <w:rPr>
          <w:rStyle w:val="IntenseEmphasis"/>
          <w:b w:val="0"/>
        </w:rPr>
      </w:pPr>
      <w:r w:rsidRPr="00271A21">
        <w:rPr>
          <w:rStyle w:val="IntenseEmphasis"/>
          <w:b w:val="0"/>
        </w:rPr>
        <w:t>provision of transitional housing for new doctors</w:t>
      </w:r>
    </w:p>
    <w:p w14:paraId="137B801B" w14:textId="77777777" w:rsidR="00554F8D" w:rsidRPr="00271A21" w:rsidRDefault="00554F8D" w:rsidP="00D30B83">
      <w:pPr>
        <w:pStyle w:val="Default"/>
        <w:numPr>
          <w:ilvl w:val="0"/>
          <w:numId w:val="46"/>
        </w:numPr>
        <w:spacing w:after="200" w:line="276" w:lineRule="auto"/>
        <w:ind w:left="1426" w:right="749" w:hanging="288"/>
        <w:rPr>
          <w:rStyle w:val="IntenseEmphasis"/>
          <w:b w:val="0"/>
        </w:rPr>
      </w:pPr>
      <w:r w:rsidRPr="00271A21">
        <w:rPr>
          <w:rStyle w:val="IntenseEmphasis"/>
          <w:b w:val="0"/>
        </w:rPr>
        <w:t>a nurse practitioner pilot</w:t>
      </w:r>
    </w:p>
    <w:p w14:paraId="03EE4AAD" w14:textId="1878EEEE" w:rsidR="00554F8D" w:rsidRPr="00271A21" w:rsidRDefault="00554F8D" w:rsidP="00D30B83">
      <w:pPr>
        <w:ind w:left="709" w:right="746"/>
        <w:rPr>
          <w:rStyle w:val="IntenseEmphasis"/>
          <w:rFonts w:cs="Arial"/>
          <w:b w:val="0"/>
        </w:rPr>
      </w:pPr>
      <w:r>
        <w:rPr>
          <w:rStyle w:val="IntenseEmphasis"/>
          <w:rFonts w:cs="Arial"/>
          <w:b w:val="0"/>
        </w:rPr>
        <w:t xml:space="preserve">This request does not meet the eligibility requirements for funding from the health care funding reserve as it is not a capital project. </w:t>
      </w:r>
      <w:r w:rsidR="00ED6544">
        <w:rPr>
          <w:rStyle w:val="IntenseEmphasis"/>
          <w:rFonts w:cs="Arial"/>
          <w:b w:val="0"/>
        </w:rPr>
        <w:t>Staff recommend that a letter be provided to the committee advising them of the funding policy and suggesting that they provide a revised request to Council with letters of support from the Family Health Teams and the Rural Ontario Medical Program for consideration by Council.</w:t>
      </w:r>
    </w:p>
    <w:p w14:paraId="67B39188" w14:textId="42C0D340" w:rsidR="00554F8D" w:rsidRPr="004D7368" w:rsidRDefault="00554F8D" w:rsidP="00D30B83">
      <w:pPr>
        <w:pStyle w:val="ListParagraph"/>
        <w:numPr>
          <w:ilvl w:val="0"/>
          <w:numId w:val="49"/>
        </w:numPr>
        <w:ind w:right="749"/>
        <w:contextualSpacing w:val="0"/>
        <w:rPr>
          <w:rStyle w:val="IntenseEmphasis"/>
          <w:rFonts w:cs="Arial"/>
          <w:b w:val="0"/>
        </w:rPr>
      </w:pPr>
      <w:r w:rsidRPr="004D7368">
        <w:rPr>
          <w:rStyle w:val="IntenseEmphasis"/>
          <w:rFonts w:cs="Arial"/>
          <w:b w:val="0"/>
        </w:rPr>
        <w:t xml:space="preserve">It is anticipated that Saugeen Hospice Inc. will request seed funding for project development at the November 22, 2021 task force meeting. This project intends to build a new hospice facility in Walkerton to serve </w:t>
      </w:r>
      <w:r w:rsidRPr="004D7368">
        <w:rPr>
          <w:rStyle w:val="IntenseEmphasis"/>
          <w:rFonts w:cs="Arial"/>
          <w:b w:val="0"/>
        </w:rPr>
        <w:lastRenderedPageBreak/>
        <w:t xml:space="preserve">southern Bruce and Grey County. </w:t>
      </w:r>
      <w:r w:rsidR="004D7368">
        <w:rPr>
          <w:rStyle w:val="IntenseEmphasis"/>
          <w:rFonts w:cs="Arial"/>
          <w:b w:val="0"/>
        </w:rPr>
        <w:br/>
      </w:r>
      <w:r w:rsidR="004D7368">
        <w:rPr>
          <w:rStyle w:val="IntenseEmphasis"/>
          <w:rFonts w:cs="Arial"/>
          <w:b w:val="0"/>
        </w:rPr>
        <w:br/>
        <w:t xml:space="preserve">This project is to support a capital project for a small amount of money $10,000. However, it has not yet received provincial approval and is to be located outside of Grey County. Staff recommend providing a letter to the committee with direction as per the discussion at the task force meeting of November 22, 2021. </w:t>
      </w:r>
    </w:p>
    <w:p w14:paraId="08E9E3A4" w14:textId="45440092" w:rsidR="004D7368" w:rsidRPr="00DD7BCB" w:rsidRDefault="00554F8D" w:rsidP="00D30B83">
      <w:pPr>
        <w:pStyle w:val="ListParagraph"/>
        <w:numPr>
          <w:ilvl w:val="0"/>
          <w:numId w:val="49"/>
        </w:numPr>
        <w:tabs>
          <w:tab w:val="left" w:pos="3010"/>
          <w:tab w:val="left" w:pos="5798"/>
          <w:tab w:val="left" w:pos="8619"/>
        </w:tabs>
        <w:ind w:right="749"/>
        <w:contextualSpacing w:val="0"/>
        <w:rPr>
          <w:rStyle w:val="IntenseEmphasis"/>
          <w:rFonts w:cs="Arial"/>
          <w:b w:val="0"/>
        </w:rPr>
      </w:pPr>
      <w:r w:rsidRPr="00DD7BCB">
        <w:rPr>
          <w:rStyle w:val="IntenseEmphasis"/>
          <w:rFonts w:cs="Arial"/>
          <w:b w:val="0"/>
        </w:rPr>
        <w:t>The G</w:t>
      </w:r>
      <w:r w:rsidRPr="00DD7BCB">
        <w:rPr>
          <w:rStyle w:val="IntenseEmphasis"/>
          <w:rFonts w:cs="Arial"/>
          <w:b w:val="0"/>
          <w:bCs w:val="0"/>
        </w:rPr>
        <w:t>rey Bruce Health Services MRI Campaign had requested $</w:t>
      </w:r>
      <w:r w:rsidRPr="00DD7BCB">
        <w:rPr>
          <w:rStyle w:val="IntenseEmphasis"/>
          <w:rFonts w:cs="Arial"/>
          <w:b w:val="0"/>
        </w:rPr>
        <w:t>400,000</w:t>
      </w:r>
      <w:r w:rsidR="004D7368" w:rsidRPr="00DD7BCB">
        <w:rPr>
          <w:rStyle w:val="IntenseEmphasis"/>
          <w:rFonts w:cs="Arial"/>
          <w:b w:val="0"/>
        </w:rPr>
        <w:t xml:space="preserve"> over two years in 2018,</w:t>
      </w:r>
      <w:r w:rsidRPr="00DD7BCB">
        <w:rPr>
          <w:rStyle w:val="IntenseEmphasis"/>
          <w:rFonts w:cs="Arial"/>
          <w:b w:val="0"/>
        </w:rPr>
        <w:t xml:space="preserve"> reached its goal in 2020 with a private $1M donation. </w:t>
      </w:r>
      <w:r w:rsidR="004D7368" w:rsidRPr="00DD7BCB">
        <w:rPr>
          <w:rStyle w:val="IntenseEmphasis"/>
          <w:rFonts w:cs="Arial"/>
          <w:b w:val="0"/>
        </w:rPr>
        <w:t xml:space="preserve">No further action is required. </w:t>
      </w:r>
    </w:p>
    <w:p w14:paraId="44E23873" w14:textId="77777777" w:rsidR="00A1588D" w:rsidRDefault="004D7368" w:rsidP="00A1588D">
      <w:pPr>
        <w:pStyle w:val="ListParagraph"/>
        <w:numPr>
          <w:ilvl w:val="0"/>
          <w:numId w:val="49"/>
        </w:numPr>
        <w:tabs>
          <w:tab w:val="left" w:pos="3010"/>
          <w:tab w:val="left" w:pos="5798"/>
          <w:tab w:val="left" w:pos="8619"/>
        </w:tabs>
        <w:ind w:right="749"/>
        <w:contextualSpacing w:val="0"/>
        <w:rPr>
          <w:rStyle w:val="IntenseEmphasis"/>
          <w:rFonts w:cs="Arial"/>
          <w:b w:val="0"/>
        </w:rPr>
      </w:pPr>
      <w:r w:rsidRPr="00DD7BCB">
        <w:rPr>
          <w:rStyle w:val="IntenseEmphasis"/>
          <w:rFonts w:cs="Arial"/>
          <w:b w:val="0"/>
        </w:rPr>
        <w:t xml:space="preserve">Grey Bruce Health Services requested </w:t>
      </w:r>
      <w:r w:rsidR="00DD7BCB" w:rsidRPr="00DD7BCB">
        <w:rPr>
          <w:rStyle w:val="IntenseEmphasis"/>
          <w:rFonts w:cs="Arial"/>
          <w:b w:val="0"/>
        </w:rPr>
        <w:t xml:space="preserve">$150,000 in </w:t>
      </w:r>
      <w:r w:rsidRPr="00DD7BCB">
        <w:rPr>
          <w:rStyle w:val="IntenseEmphasis"/>
          <w:rFonts w:cs="Arial"/>
          <w:b w:val="0"/>
        </w:rPr>
        <w:t xml:space="preserve">additional support for the Markdale Hospital in </w:t>
      </w:r>
      <w:r w:rsidR="00DD7BCB" w:rsidRPr="00DD7BCB">
        <w:rPr>
          <w:rStyle w:val="IntenseEmphasis"/>
          <w:rFonts w:cs="Arial"/>
          <w:b w:val="0"/>
        </w:rPr>
        <w:t>June 2021</w:t>
      </w:r>
      <w:r w:rsidRPr="00DD7BCB">
        <w:rPr>
          <w:rStyle w:val="IntenseEmphasis"/>
          <w:rFonts w:cs="Arial"/>
          <w:b w:val="0"/>
        </w:rPr>
        <w:t xml:space="preserve">.  </w:t>
      </w:r>
    </w:p>
    <w:p w14:paraId="36E4EAE8" w14:textId="359C79E8" w:rsidR="004D7368" w:rsidRPr="00A1588D" w:rsidRDefault="00DD7BCB" w:rsidP="00A1588D">
      <w:pPr>
        <w:pStyle w:val="ListParagraph"/>
        <w:tabs>
          <w:tab w:val="left" w:pos="3010"/>
          <w:tab w:val="left" w:pos="5798"/>
          <w:tab w:val="left" w:pos="8619"/>
        </w:tabs>
        <w:ind w:right="749"/>
        <w:contextualSpacing w:val="0"/>
        <w:rPr>
          <w:rStyle w:val="IntenseEmphasis"/>
          <w:rFonts w:cs="Arial"/>
          <w:b w:val="0"/>
        </w:rPr>
      </w:pPr>
      <w:r w:rsidRPr="00A1588D">
        <w:rPr>
          <w:rStyle w:val="IntenseEmphasis"/>
          <w:rFonts w:cs="Arial"/>
          <w:b w:val="0"/>
        </w:rPr>
        <w:t>Staff recommend that this amount be included in the 2022 budget, with the funds being drawn from the Health Care Funding Reserve based on the current balance of $90,548 and an anticipated transfer to the fund</w:t>
      </w:r>
      <w:r w:rsidR="00E32543" w:rsidRPr="00A1588D">
        <w:rPr>
          <w:rStyle w:val="IntenseEmphasis"/>
          <w:rFonts w:cs="Arial"/>
          <w:b w:val="0"/>
        </w:rPr>
        <w:t xml:space="preserve"> as part of the 2022 budget</w:t>
      </w:r>
      <w:r w:rsidRPr="00A1588D">
        <w:rPr>
          <w:rStyle w:val="IntenseEmphasis"/>
          <w:rFonts w:cs="Arial"/>
          <w:b w:val="0"/>
        </w:rPr>
        <w:t xml:space="preserve"> as recommended in this report. </w:t>
      </w:r>
    </w:p>
    <w:p w14:paraId="6EE30192" w14:textId="7990554E" w:rsidR="00554F8D" w:rsidRPr="004D7368" w:rsidRDefault="00554F8D" w:rsidP="00D30B83">
      <w:pPr>
        <w:pStyle w:val="ListParagraph"/>
        <w:numPr>
          <w:ilvl w:val="0"/>
          <w:numId w:val="49"/>
        </w:numPr>
        <w:tabs>
          <w:tab w:val="left" w:pos="3010"/>
          <w:tab w:val="left" w:pos="5798"/>
          <w:tab w:val="left" w:pos="8619"/>
        </w:tabs>
        <w:ind w:right="749"/>
        <w:contextualSpacing w:val="0"/>
        <w:rPr>
          <w:rStyle w:val="IntenseEmphasis"/>
          <w:rFonts w:cs="Arial"/>
          <w:b w:val="0"/>
        </w:rPr>
      </w:pPr>
      <w:r w:rsidRPr="004D7368">
        <w:rPr>
          <w:rStyle w:val="IntenseEmphasis"/>
          <w:rFonts w:cs="Arial"/>
          <w:b w:val="0"/>
        </w:rPr>
        <w:t xml:space="preserve">Hanover Hospital and South Bruce Grey Health Centre mentioned future renovation projects but did not provide the task force </w:t>
      </w:r>
      <w:r w:rsidR="004D7368">
        <w:rPr>
          <w:rStyle w:val="IntenseEmphasis"/>
          <w:rFonts w:cs="Arial"/>
          <w:b w:val="0"/>
        </w:rPr>
        <w:t>with a s</w:t>
      </w:r>
      <w:r w:rsidRPr="004D7368">
        <w:rPr>
          <w:rStyle w:val="IntenseEmphasis"/>
          <w:rFonts w:cs="Arial"/>
          <w:b w:val="0"/>
        </w:rPr>
        <w:t>pecific ask at the time of their delegation.</w:t>
      </w:r>
      <w:r w:rsidR="004D7368">
        <w:rPr>
          <w:rStyle w:val="IntenseEmphasis"/>
          <w:rFonts w:cs="Arial"/>
          <w:b w:val="0"/>
        </w:rPr>
        <w:t xml:space="preserve"> Staff recommend writing a letter thanking them for providing information to the taskforce and advising them of the policy, if approved.</w:t>
      </w:r>
      <w:r w:rsidRPr="004D7368">
        <w:rPr>
          <w:rStyle w:val="IntenseEmphasis"/>
          <w:rFonts w:cs="Arial"/>
          <w:b w:val="0"/>
        </w:rPr>
        <w:tab/>
      </w:r>
    </w:p>
    <w:p w14:paraId="42F5373C" w14:textId="77777777" w:rsidR="00893CEB" w:rsidRDefault="00893CEB" w:rsidP="00D30B83">
      <w:pPr>
        <w:pStyle w:val="Heading2"/>
        <w:keepNext w:val="0"/>
        <w:keepLines w:val="0"/>
        <w:widowControl w:val="0"/>
      </w:pPr>
      <w:r>
        <w:t>Legal and Legislated Requirements</w:t>
      </w:r>
    </w:p>
    <w:p w14:paraId="523ECA1F" w14:textId="0BCA977C" w:rsidR="00893CEB" w:rsidRDefault="006C763B" w:rsidP="00D30B83">
      <w:pPr>
        <w:widowControl w:val="0"/>
      </w:pPr>
      <w:r>
        <w:t>None with this report.</w:t>
      </w:r>
    </w:p>
    <w:p w14:paraId="4DDCF7F4" w14:textId="77777777" w:rsidR="00893CEB" w:rsidRDefault="00893CEB" w:rsidP="00D30B83">
      <w:pPr>
        <w:pStyle w:val="Heading2"/>
        <w:keepNext w:val="0"/>
        <w:keepLines w:val="0"/>
        <w:widowControl w:val="0"/>
      </w:pPr>
      <w:r>
        <w:t>Financial and Resource Implications</w:t>
      </w:r>
    </w:p>
    <w:p w14:paraId="31212CAD" w14:textId="57820056" w:rsidR="00893CEB" w:rsidRPr="000F4322" w:rsidRDefault="006C763B" w:rsidP="00D30B83">
      <w:pPr>
        <w:widowControl w:val="0"/>
      </w:pPr>
      <w:r>
        <w:t xml:space="preserve">If approved, the report recommends a </w:t>
      </w:r>
      <w:r w:rsidR="00E32543">
        <w:t>0</w:t>
      </w:r>
      <w:r>
        <w:t>.25% of own source revenue increase to the annual levy to be allocated to the health care funding reserve.</w:t>
      </w:r>
      <w:r w:rsidR="00E46540">
        <w:t xml:space="preserve"> </w:t>
      </w:r>
      <w:r w:rsidR="00E32543">
        <w:t xml:space="preserve">For the 2022 budget, this would result in </w:t>
      </w:r>
      <w:r w:rsidR="00C51C8A">
        <w:t xml:space="preserve">transfer to reserve in the amount of $467,600, </w:t>
      </w:r>
      <w:r w:rsidR="00E32543">
        <w:t>an increase of $</w:t>
      </w:r>
      <w:r w:rsidR="00C51C8A">
        <w:t>168,500 as compared to the 2021 budget</w:t>
      </w:r>
      <w:r w:rsidR="00E32543">
        <w:t>.</w:t>
      </w:r>
    </w:p>
    <w:p w14:paraId="60BBA4F0" w14:textId="77777777" w:rsidR="00893CEB" w:rsidRDefault="00893CEB" w:rsidP="00D30B83">
      <w:pPr>
        <w:pStyle w:val="Heading1"/>
        <w:keepNext w:val="0"/>
        <w:keepLines w:val="0"/>
        <w:widowControl w:val="0"/>
      </w:pPr>
      <w:r>
        <w:t>Relevant Consultation</w:t>
      </w:r>
    </w:p>
    <w:p w14:paraId="19B37EF4" w14:textId="77777777" w:rsidR="00893CEB" w:rsidRDefault="00D56BF8" w:rsidP="00D30B83">
      <w:pPr>
        <w:widowControl w:val="0"/>
      </w:pPr>
      <w:sdt>
        <w:sdtPr>
          <w:id w:val="277615633"/>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Internal (list)</w:t>
      </w:r>
    </w:p>
    <w:p w14:paraId="161A2279" w14:textId="3862AD07" w:rsidR="00893CEB" w:rsidRDefault="00D56BF8" w:rsidP="00D30B83">
      <w:pPr>
        <w:widowControl w:val="0"/>
      </w:pPr>
      <w:sdt>
        <w:sdtPr>
          <w:id w:val="148943250"/>
          <w14:checkbox>
            <w14:checked w14:val="1"/>
            <w14:checkedState w14:val="2612" w14:font="MS Gothic"/>
            <w14:uncheckedState w14:val="2610" w14:font="MS Gothic"/>
          </w14:checkbox>
        </w:sdtPr>
        <w:sdtEndPr/>
        <w:sdtContent>
          <w:r w:rsidR="006C763B">
            <w:rPr>
              <w:rFonts w:ascii="MS Gothic" w:eastAsia="MS Gothic" w:hAnsi="MS Gothic" w:hint="eastAsia"/>
            </w:rPr>
            <w:t>☒</w:t>
          </w:r>
        </w:sdtContent>
      </w:sdt>
      <w:r w:rsidR="00893CEB">
        <w:tab/>
        <w:t xml:space="preserve">External </w:t>
      </w:r>
    </w:p>
    <w:p w14:paraId="3C94AEF9" w14:textId="282248F5" w:rsidR="00753DAF" w:rsidRDefault="00753DAF" w:rsidP="00D30B83">
      <w:pPr>
        <w:widowControl w:val="0"/>
        <w:spacing w:after="0"/>
      </w:pPr>
      <w:r>
        <w:lastRenderedPageBreak/>
        <w:t>Gary Sims, Naomi Vodden, Martin Mazza – Grey Bruce Health Services</w:t>
      </w:r>
    </w:p>
    <w:p w14:paraId="5E23E4A8" w14:textId="46B1BA0A" w:rsidR="00753DAF" w:rsidRDefault="00753DAF" w:rsidP="00D30B83">
      <w:pPr>
        <w:widowControl w:val="0"/>
        <w:spacing w:after="0"/>
      </w:pPr>
      <w:r>
        <w:t>Dana Howes – Hanover and District H</w:t>
      </w:r>
      <w:r w:rsidR="008D478A">
        <w:t>ospital</w:t>
      </w:r>
    </w:p>
    <w:p w14:paraId="2707C7B1" w14:textId="6585F001" w:rsidR="00753DAF" w:rsidRDefault="00753DAF" w:rsidP="00D30B83">
      <w:pPr>
        <w:widowControl w:val="0"/>
        <w:spacing w:after="0"/>
      </w:pPr>
      <w:r>
        <w:t xml:space="preserve">Norah Holder, Jory Pritchard-Kerr - Collingwood General and Marine Hospital </w:t>
      </w:r>
    </w:p>
    <w:p w14:paraId="5E554A20" w14:textId="46E80B17" w:rsidR="00753DAF" w:rsidRDefault="00753DAF" w:rsidP="00D30B83">
      <w:pPr>
        <w:widowControl w:val="0"/>
        <w:spacing w:after="0"/>
      </w:pPr>
      <w:r>
        <w:t>Michael Barrett – South Bruce Grey Health Centre</w:t>
      </w:r>
    </w:p>
    <w:p w14:paraId="4EFE3A09" w14:textId="2B3AFECE" w:rsidR="00753DAF" w:rsidRDefault="00753DAF" w:rsidP="00D30B83">
      <w:pPr>
        <w:widowControl w:val="0"/>
        <w:spacing w:after="0"/>
      </w:pPr>
      <w:r>
        <w:t>June Porter- TBM Joint Municipal Physician Recruitment and Retention Committee</w:t>
      </w:r>
    </w:p>
    <w:p w14:paraId="608254E5" w14:textId="0ABF9514" w:rsidR="00753DAF" w:rsidRDefault="00753DAF" w:rsidP="00D30B83">
      <w:pPr>
        <w:widowControl w:val="0"/>
        <w:spacing w:after="0"/>
      </w:pPr>
      <w:r>
        <w:t>Alex Hector and Michael Barrett – Grey Bruce Ontario Health Team</w:t>
      </w:r>
    </w:p>
    <w:p w14:paraId="72C6D41D" w14:textId="7D0A8C0E" w:rsidR="00F1670B" w:rsidRDefault="00F1670B" w:rsidP="00D30B83">
      <w:pPr>
        <w:widowControl w:val="0"/>
        <w:spacing w:after="0"/>
      </w:pPr>
      <w:r>
        <w:t>Dr. Mary-Lynne West Moyne, David Bell – Georgian College</w:t>
      </w:r>
    </w:p>
    <w:p w14:paraId="03A9288B" w14:textId="77777777" w:rsidR="00893CEB" w:rsidRDefault="00893CEB" w:rsidP="00D30B83">
      <w:pPr>
        <w:pStyle w:val="Heading3"/>
      </w:pPr>
      <w:r>
        <w:t>Appendices and Attachments</w:t>
      </w:r>
    </w:p>
    <w:p w14:paraId="0B8512E6" w14:textId="58A41AF6" w:rsidR="00893CEB" w:rsidRDefault="00D30B83" w:rsidP="00D30B83">
      <w:pPr>
        <w:widowControl w:val="0"/>
      </w:pPr>
      <w:r>
        <w:t>None.</w:t>
      </w:r>
    </w:p>
    <w:sectPr w:rsidR="00893CEB" w:rsidSect="00906B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1258" w14:textId="77777777" w:rsidR="006C763B" w:rsidRDefault="006C763B" w:rsidP="004B6AC1">
      <w:pPr>
        <w:spacing w:after="0" w:line="240" w:lineRule="auto"/>
      </w:pPr>
      <w:r>
        <w:separator/>
      </w:r>
    </w:p>
  </w:endnote>
  <w:endnote w:type="continuationSeparator" w:id="0">
    <w:p w14:paraId="19B4BE99" w14:textId="77777777" w:rsidR="006C763B" w:rsidRDefault="006C763B"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3A235D73" w:rsidR="006C763B" w:rsidRDefault="006C763B" w:rsidP="00906BC5">
    <w:pPr>
      <w:pStyle w:val="Footer"/>
      <w:jc w:val="center"/>
    </w:pPr>
    <w:r>
      <w:rPr>
        <w:sz w:val="22"/>
        <w:szCs w:val="22"/>
      </w:rPr>
      <w:t xml:space="preserve">CAOR-HCF-14-21 </w:t>
    </w:r>
    <w:r>
      <w:tab/>
    </w:r>
    <w:sdt>
      <w:sdtPr>
        <w:id w:val="-1318193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ab/>
      <w:t>November 22,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2BAE" w14:textId="77777777" w:rsidR="006C763B" w:rsidRDefault="006C763B" w:rsidP="004B6AC1">
      <w:pPr>
        <w:spacing w:after="0" w:line="240" w:lineRule="auto"/>
      </w:pPr>
      <w:r>
        <w:separator/>
      </w:r>
    </w:p>
  </w:footnote>
  <w:footnote w:type="continuationSeparator" w:id="0">
    <w:p w14:paraId="6DF9C1AB" w14:textId="77777777" w:rsidR="006C763B" w:rsidRDefault="006C763B"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8F12A28"/>
    <w:multiLevelType w:val="hybridMultilevel"/>
    <w:tmpl w:val="EE946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4F053BE2"/>
    <w:multiLevelType w:val="hybridMultilevel"/>
    <w:tmpl w:val="61767B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5F575AA3"/>
    <w:multiLevelType w:val="hybridMultilevel"/>
    <w:tmpl w:val="E572EE44"/>
    <w:lvl w:ilvl="0" w:tplc="DCC63972">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83F28"/>
    <w:multiLevelType w:val="hybridMultilevel"/>
    <w:tmpl w:val="CD84E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5"/>
  </w:num>
  <w:num w:numId="5">
    <w:abstractNumId w:val="2"/>
  </w:num>
  <w:num w:numId="6">
    <w:abstractNumId w:val="16"/>
  </w:num>
  <w:num w:numId="7">
    <w:abstractNumId w:val="7"/>
  </w:num>
  <w:num w:numId="8">
    <w:abstractNumId w:val="10"/>
  </w:num>
  <w:num w:numId="9">
    <w:abstractNumId w:val="24"/>
  </w:num>
  <w:num w:numId="10">
    <w:abstractNumId w:val="25"/>
  </w:num>
  <w:num w:numId="11">
    <w:abstractNumId w:val="1"/>
  </w:num>
  <w:num w:numId="12">
    <w:abstractNumId w:val="21"/>
  </w:num>
  <w:num w:numId="13">
    <w:abstractNumId w:val="6"/>
  </w:num>
  <w:num w:numId="14">
    <w:abstractNumId w:val="5"/>
  </w:num>
  <w:num w:numId="15">
    <w:abstractNumId w:val="3"/>
  </w:num>
  <w:num w:numId="16">
    <w:abstractNumId w:val="23"/>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num>
  <w:num w:numId="33">
    <w:abstractNumId w:val="17"/>
  </w:num>
  <w:num w:numId="34">
    <w:abstractNumId w:val="4"/>
  </w:num>
  <w:num w:numId="35">
    <w:abstractNumId w:val="18"/>
  </w:num>
  <w:num w:numId="36">
    <w:abstractNumId w:val="14"/>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num>
  <w:num w:numId="46">
    <w:abstractNumId w:val="13"/>
  </w:num>
  <w:num w:numId="47">
    <w:abstractNumId w:val="22"/>
  </w:num>
  <w:num w:numId="48">
    <w:abstractNumId w:val="26"/>
  </w:num>
  <w:num w:numId="49">
    <w:abstractNumId w:val="19"/>
  </w:num>
  <w:num w:numId="5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4A60"/>
    <w:rsid w:val="0005699E"/>
    <w:rsid w:val="00072693"/>
    <w:rsid w:val="0007662D"/>
    <w:rsid w:val="0008166C"/>
    <w:rsid w:val="00083A40"/>
    <w:rsid w:val="00094BA8"/>
    <w:rsid w:val="000A5195"/>
    <w:rsid w:val="000A665D"/>
    <w:rsid w:val="000B2FC6"/>
    <w:rsid w:val="000B7C11"/>
    <w:rsid w:val="000D1391"/>
    <w:rsid w:val="000D3D6B"/>
    <w:rsid w:val="000D707D"/>
    <w:rsid w:val="000E2028"/>
    <w:rsid w:val="000F339B"/>
    <w:rsid w:val="000F7DE2"/>
    <w:rsid w:val="00100AA2"/>
    <w:rsid w:val="001034BB"/>
    <w:rsid w:val="001163EF"/>
    <w:rsid w:val="00120301"/>
    <w:rsid w:val="00127940"/>
    <w:rsid w:val="00134184"/>
    <w:rsid w:val="00134B93"/>
    <w:rsid w:val="00142D96"/>
    <w:rsid w:val="00143833"/>
    <w:rsid w:val="001467F1"/>
    <w:rsid w:val="00146DCA"/>
    <w:rsid w:val="00147696"/>
    <w:rsid w:val="001512C3"/>
    <w:rsid w:val="00160AAD"/>
    <w:rsid w:val="00164A48"/>
    <w:rsid w:val="00172189"/>
    <w:rsid w:val="00173845"/>
    <w:rsid w:val="00183B1B"/>
    <w:rsid w:val="00187C45"/>
    <w:rsid w:val="00194DFD"/>
    <w:rsid w:val="00197815"/>
    <w:rsid w:val="001A0805"/>
    <w:rsid w:val="001A0A21"/>
    <w:rsid w:val="001A13FB"/>
    <w:rsid w:val="001A31CE"/>
    <w:rsid w:val="001B2CC3"/>
    <w:rsid w:val="001B7EB2"/>
    <w:rsid w:val="001C2C22"/>
    <w:rsid w:val="001C3431"/>
    <w:rsid w:val="001D240E"/>
    <w:rsid w:val="001D724D"/>
    <w:rsid w:val="001E0803"/>
    <w:rsid w:val="001E1FAD"/>
    <w:rsid w:val="001F4F23"/>
    <w:rsid w:val="001F5A84"/>
    <w:rsid w:val="0020062B"/>
    <w:rsid w:val="002072A5"/>
    <w:rsid w:val="00225132"/>
    <w:rsid w:val="00234FC9"/>
    <w:rsid w:val="002360C1"/>
    <w:rsid w:val="00242EEE"/>
    <w:rsid w:val="0024545F"/>
    <w:rsid w:val="00247AC9"/>
    <w:rsid w:val="002530D6"/>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3A14"/>
    <w:rsid w:val="00296EB5"/>
    <w:rsid w:val="002A3088"/>
    <w:rsid w:val="002A52DB"/>
    <w:rsid w:val="002A7872"/>
    <w:rsid w:val="002B0815"/>
    <w:rsid w:val="002B6CFB"/>
    <w:rsid w:val="002C4773"/>
    <w:rsid w:val="002C7C57"/>
    <w:rsid w:val="002D559C"/>
    <w:rsid w:val="002E1CB2"/>
    <w:rsid w:val="002F101C"/>
    <w:rsid w:val="00301729"/>
    <w:rsid w:val="00306B3C"/>
    <w:rsid w:val="003079D0"/>
    <w:rsid w:val="003129C1"/>
    <w:rsid w:val="00321ABB"/>
    <w:rsid w:val="00321D71"/>
    <w:rsid w:val="00323913"/>
    <w:rsid w:val="00330028"/>
    <w:rsid w:val="00345E23"/>
    <w:rsid w:val="00351231"/>
    <w:rsid w:val="003518BF"/>
    <w:rsid w:val="003529F9"/>
    <w:rsid w:val="00357106"/>
    <w:rsid w:val="00360ECB"/>
    <w:rsid w:val="003718D9"/>
    <w:rsid w:val="003778B1"/>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35AA"/>
    <w:rsid w:val="0046421D"/>
    <w:rsid w:val="00477A45"/>
    <w:rsid w:val="00480B65"/>
    <w:rsid w:val="00485E14"/>
    <w:rsid w:val="0049193B"/>
    <w:rsid w:val="00492CCA"/>
    <w:rsid w:val="004942B7"/>
    <w:rsid w:val="004968F0"/>
    <w:rsid w:val="004971CF"/>
    <w:rsid w:val="004A22C9"/>
    <w:rsid w:val="004A2B1C"/>
    <w:rsid w:val="004A76CC"/>
    <w:rsid w:val="004B41D3"/>
    <w:rsid w:val="004B5FDD"/>
    <w:rsid w:val="004B6AC1"/>
    <w:rsid w:val="004C0B58"/>
    <w:rsid w:val="004C490E"/>
    <w:rsid w:val="004C7835"/>
    <w:rsid w:val="004D0970"/>
    <w:rsid w:val="004D7368"/>
    <w:rsid w:val="004E0369"/>
    <w:rsid w:val="004E2C7F"/>
    <w:rsid w:val="004E4046"/>
    <w:rsid w:val="004E4338"/>
    <w:rsid w:val="005023DA"/>
    <w:rsid w:val="005035E7"/>
    <w:rsid w:val="00510EA2"/>
    <w:rsid w:val="00521F7A"/>
    <w:rsid w:val="00522E23"/>
    <w:rsid w:val="00523C03"/>
    <w:rsid w:val="00525D1C"/>
    <w:rsid w:val="00541A44"/>
    <w:rsid w:val="005448EF"/>
    <w:rsid w:val="00544BC2"/>
    <w:rsid w:val="00551165"/>
    <w:rsid w:val="0055306A"/>
    <w:rsid w:val="00554F8D"/>
    <w:rsid w:val="00561CEA"/>
    <w:rsid w:val="00563416"/>
    <w:rsid w:val="0056751C"/>
    <w:rsid w:val="005704F6"/>
    <w:rsid w:val="00587456"/>
    <w:rsid w:val="005A6134"/>
    <w:rsid w:val="005B63D4"/>
    <w:rsid w:val="005C3BB8"/>
    <w:rsid w:val="005D489B"/>
    <w:rsid w:val="005D5E63"/>
    <w:rsid w:val="005D7A9C"/>
    <w:rsid w:val="005E4B58"/>
    <w:rsid w:val="005E66FC"/>
    <w:rsid w:val="005E6E98"/>
    <w:rsid w:val="005F2561"/>
    <w:rsid w:val="005F7AB4"/>
    <w:rsid w:val="0060451D"/>
    <w:rsid w:val="00611FF9"/>
    <w:rsid w:val="0061238C"/>
    <w:rsid w:val="0061628D"/>
    <w:rsid w:val="006235FF"/>
    <w:rsid w:val="006258D6"/>
    <w:rsid w:val="006410EB"/>
    <w:rsid w:val="006467D7"/>
    <w:rsid w:val="00650889"/>
    <w:rsid w:val="00661740"/>
    <w:rsid w:val="00661E15"/>
    <w:rsid w:val="00663294"/>
    <w:rsid w:val="00664049"/>
    <w:rsid w:val="00675649"/>
    <w:rsid w:val="006767DE"/>
    <w:rsid w:val="00684518"/>
    <w:rsid w:val="0069297D"/>
    <w:rsid w:val="00693326"/>
    <w:rsid w:val="0069591B"/>
    <w:rsid w:val="006A2DA1"/>
    <w:rsid w:val="006A4519"/>
    <w:rsid w:val="006C2080"/>
    <w:rsid w:val="006C44EF"/>
    <w:rsid w:val="006C763B"/>
    <w:rsid w:val="006D2546"/>
    <w:rsid w:val="006D36F2"/>
    <w:rsid w:val="006F43C5"/>
    <w:rsid w:val="007039EF"/>
    <w:rsid w:val="007071D8"/>
    <w:rsid w:val="0071218E"/>
    <w:rsid w:val="00712BB5"/>
    <w:rsid w:val="00723019"/>
    <w:rsid w:val="00725DA5"/>
    <w:rsid w:val="00727163"/>
    <w:rsid w:val="00731928"/>
    <w:rsid w:val="00753DAF"/>
    <w:rsid w:val="0075757C"/>
    <w:rsid w:val="00761ABC"/>
    <w:rsid w:val="00772FDB"/>
    <w:rsid w:val="007827FC"/>
    <w:rsid w:val="007843DE"/>
    <w:rsid w:val="00786B1C"/>
    <w:rsid w:val="007873DE"/>
    <w:rsid w:val="00787558"/>
    <w:rsid w:val="007927D8"/>
    <w:rsid w:val="0079416B"/>
    <w:rsid w:val="007A062A"/>
    <w:rsid w:val="007A7F54"/>
    <w:rsid w:val="007B0204"/>
    <w:rsid w:val="007B2599"/>
    <w:rsid w:val="007B32E3"/>
    <w:rsid w:val="007B77EA"/>
    <w:rsid w:val="007C1ED8"/>
    <w:rsid w:val="007D124C"/>
    <w:rsid w:val="007D34EB"/>
    <w:rsid w:val="007E1603"/>
    <w:rsid w:val="007E5605"/>
    <w:rsid w:val="007E6B4D"/>
    <w:rsid w:val="007F3C0B"/>
    <w:rsid w:val="007F6E48"/>
    <w:rsid w:val="0080305A"/>
    <w:rsid w:val="0081323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75AE"/>
    <w:rsid w:val="008C002E"/>
    <w:rsid w:val="008C1B29"/>
    <w:rsid w:val="008C4DB1"/>
    <w:rsid w:val="008C6438"/>
    <w:rsid w:val="008D478A"/>
    <w:rsid w:val="008D4857"/>
    <w:rsid w:val="008D502B"/>
    <w:rsid w:val="00902617"/>
    <w:rsid w:val="009062A0"/>
    <w:rsid w:val="00906BC5"/>
    <w:rsid w:val="00911FA6"/>
    <w:rsid w:val="009126E5"/>
    <w:rsid w:val="00913268"/>
    <w:rsid w:val="00915180"/>
    <w:rsid w:val="00915D02"/>
    <w:rsid w:val="009229CD"/>
    <w:rsid w:val="009244F7"/>
    <w:rsid w:val="009300D7"/>
    <w:rsid w:val="009311B3"/>
    <w:rsid w:val="00931E9C"/>
    <w:rsid w:val="009427D8"/>
    <w:rsid w:val="00947FDB"/>
    <w:rsid w:val="00955F35"/>
    <w:rsid w:val="009562CC"/>
    <w:rsid w:val="00960925"/>
    <w:rsid w:val="0096264C"/>
    <w:rsid w:val="009628F1"/>
    <w:rsid w:val="009742FE"/>
    <w:rsid w:val="0097702B"/>
    <w:rsid w:val="00981A3C"/>
    <w:rsid w:val="0098214B"/>
    <w:rsid w:val="0098295D"/>
    <w:rsid w:val="00982F40"/>
    <w:rsid w:val="009976B8"/>
    <w:rsid w:val="009A3E57"/>
    <w:rsid w:val="009A61A9"/>
    <w:rsid w:val="009B0477"/>
    <w:rsid w:val="009B4BF5"/>
    <w:rsid w:val="009C4373"/>
    <w:rsid w:val="009D0959"/>
    <w:rsid w:val="009D2715"/>
    <w:rsid w:val="009D5A1F"/>
    <w:rsid w:val="009F412C"/>
    <w:rsid w:val="009F5AA1"/>
    <w:rsid w:val="009F6E13"/>
    <w:rsid w:val="009F754F"/>
    <w:rsid w:val="00A04FA6"/>
    <w:rsid w:val="00A0537E"/>
    <w:rsid w:val="00A0631E"/>
    <w:rsid w:val="00A07DE8"/>
    <w:rsid w:val="00A1588D"/>
    <w:rsid w:val="00A17CDD"/>
    <w:rsid w:val="00A22A0D"/>
    <w:rsid w:val="00A24F49"/>
    <w:rsid w:val="00A3226F"/>
    <w:rsid w:val="00A3496A"/>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4980"/>
    <w:rsid w:val="00AA547C"/>
    <w:rsid w:val="00AB1C79"/>
    <w:rsid w:val="00AB5F39"/>
    <w:rsid w:val="00AB6BBD"/>
    <w:rsid w:val="00AB6DD6"/>
    <w:rsid w:val="00AC046B"/>
    <w:rsid w:val="00AC7B7C"/>
    <w:rsid w:val="00AD0619"/>
    <w:rsid w:val="00AD39D5"/>
    <w:rsid w:val="00AD538D"/>
    <w:rsid w:val="00AE691D"/>
    <w:rsid w:val="00AF0AD6"/>
    <w:rsid w:val="00AF2563"/>
    <w:rsid w:val="00AF3474"/>
    <w:rsid w:val="00AF3655"/>
    <w:rsid w:val="00AF4CB2"/>
    <w:rsid w:val="00AF6D53"/>
    <w:rsid w:val="00B1336A"/>
    <w:rsid w:val="00B13FC0"/>
    <w:rsid w:val="00B1427F"/>
    <w:rsid w:val="00B1460C"/>
    <w:rsid w:val="00B21225"/>
    <w:rsid w:val="00B21EE2"/>
    <w:rsid w:val="00B24224"/>
    <w:rsid w:val="00B32525"/>
    <w:rsid w:val="00B33581"/>
    <w:rsid w:val="00B428D7"/>
    <w:rsid w:val="00B42EF3"/>
    <w:rsid w:val="00B5020E"/>
    <w:rsid w:val="00B532BC"/>
    <w:rsid w:val="00B56579"/>
    <w:rsid w:val="00B61179"/>
    <w:rsid w:val="00B62A47"/>
    <w:rsid w:val="00B62A97"/>
    <w:rsid w:val="00B6555F"/>
    <w:rsid w:val="00B70605"/>
    <w:rsid w:val="00B71510"/>
    <w:rsid w:val="00B75D01"/>
    <w:rsid w:val="00B841FD"/>
    <w:rsid w:val="00B90075"/>
    <w:rsid w:val="00BB7E5B"/>
    <w:rsid w:val="00BC2D63"/>
    <w:rsid w:val="00BC332C"/>
    <w:rsid w:val="00BD02DA"/>
    <w:rsid w:val="00BF250D"/>
    <w:rsid w:val="00BF275F"/>
    <w:rsid w:val="00BF63CB"/>
    <w:rsid w:val="00C0573E"/>
    <w:rsid w:val="00C0594F"/>
    <w:rsid w:val="00C07105"/>
    <w:rsid w:val="00C14228"/>
    <w:rsid w:val="00C16659"/>
    <w:rsid w:val="00C2491E"/>
    <w:rsid w:val="00C250BC"/>
    <w:rsid w:val="00C360F3"/>
    <w:rsid w:val="00C462C0"/>
    <w:rsid w:val="00C5196E"/>
    <w:rsid w:val="00C51C8A"/>
    <w:rsid w:val="00C53E03"/>
    <w:rsid w:val="00C620D6"/>
    <w:rsid w:val="00C7141B"/>
    <w:rsid w:val="00C80F48"/>
    <w:rsid w:val="00C8378A"/>
    <w:rsid w:val="00C85DDA"/>
    <w:rsid w:val="00C904BA"/>
    <w:rsid w:val="00C97402"/>
    <w:rsid w:val="00CA48B9"/>
    <w:rsid w:val="00CB326B"/>
    <w:rsid w:val="00CB45C2"/>
    <w:rsid w:val="00CB50D1"/>
    <w:rsid w:val="00CB51F5"/>
    <w:rsid w:val="00CC5298"/>
    <w:rsid w:val="00CC7816"/>
    <w:rsid w:val="00CD034F"/>
    <w:rsid w:val="00CE0546"/>
    <w:rsid w:val="00CE1687"/>
    <w:rsid w:val="00CF362E"/>
    <w:rsid w:val="00D02E7B"/>
    <w:rsid w:val="00D130A5"/>
    <w:rsid w:val="00D1365A"/>
    <w:rsid w:val="00D176C9"/>
    <w:rsid w:val="00D21C2F"/>
    <w:rsid w:val="00D22D67"/>
    <w:rsid w:val="00D231D3"/>
    <w:rsid w:val="00D2348C"/>
    <w:rsid w:val="00D26341"/>
    <w:rsid w:val="00D26F54"/>
    <w:rsid w:val="00D30B83"/>
    <w:rsid w:val="00D32459"/>
    <w:rsid w:val="00D4056A"/>
    <w:rsid w:val="00D47787"/>
    <w:rsid w:val="00D47DF2"/>
    <w:rsid w:val="00D47E7B"/>
    <w:rsid w:val="00D55BD7"/>
    <w:rsid w:val="00D56BF8"/>
    <w:rsid w:val="00D57EB5"/>
    <w:rsid w:val="00D64B02"/>
    <w:rsid w:val="00D64BE4"/>
    <w:rsid w:val="00D71266"/>
    <w:rsid w:val="00D729A7"/>
    <w:rsid w:val="00D73B36"/>
    <w:rsid w:val="00D821C5"/>
    <w:rsid w:val="00D85C85"/>
    <w:rsid w:val="00D87587"/>
    <w:rsid w:val="00D97D4F"/>
    <w:rsid w:val="00DA7305"/>
    <w:rsid w:val="00DA7F20"/>
    <w:rsid w:val="00DB649A"/>
    <w:rsid w:val="00DB7DDC"/>
    <w:rsid w:val="00DC0A8E"/>
    <w:rsid w:val="00DC2F3D"/>
    <w:rsid w:val="00DC514B"/>
    <w:rsid w:val="00DC5236"/>
    <w:rsid w:val="00DD7AAF"/>
    <w:rsid w:val="00DD7BCB"/>
    <w:rsid w:val="00DE209B"/>
    <w:rsid w:val="00DE40D1"/>
    <w:rsid w:val="00DF1C76"/>
    <w:rsid w:val="00E02181"/>
    <w:rsid w:val="00E0692A"/>
    <w:rsid w:val="00E06C61"/>
    <w:rsid w:val="00E077D7"/>
    <w:rsid w:val="00E106C1"/>
    <w:rsid w:val="00E137DD"/>
    <w:rsid w:val="00E16D52"/>
    <w:rsid w:val="00E223A0"/>
    <w:rsid w:val="00E240FC"/>
    <w:rsid w:val="00E32543"/>
    <w:rsid w:val="00E351A2"/>
    <w:rsid w:val="00E37B1A"/>
    <w:rsid w:val="00E40FE0"/>
    <w:rsid w:val="00E46540"/>
    <w:rsid w:val="00E506C6"/>
    <w:rsid w:val="00E523F6"/>
    <w:rsid w:val="00E542F3"/>
    <w:rsid w:val="00E54357"/>
    <w:rsid w:val="00E56B1A"/>
    <w:rsid w:val="00E601F7"/>
    <w:rsid w:val="00E728F2"/>
    <w:rsid w:val="00E73587"/>
    <w:rsid w:val="00E75AA8"/>
    <w:rsid w:val="00E762ED"/>
    <w:rsid w:val="00E77726"/>
    <w:rsid w:val="00E94B61"/>
    <w:rsid w:val="00E96756"/>
    <w:rsid w:val="00EA61A8"/>
    <w:rsid w:val="00EB13CB"/>
    <w:rsid w:val="00ED2DD1"/>
    <w:rsid w:val="00ED6544"/>
    <w:rsid w:val="00ED7D2D"/>
    <w:rsid w:val="00EE41E1"/>
    <w:rsid w:val="00EF7098"/>
    <w:rsid w:val="00F02136"/>
    <w:rsid w:val="00F16303"/>
    <w:rsid w:val="00F1670B"/>
    <w:rsid w:val="00F23F68"/>
    <w:rsid w:val="00F31C23"/>
    <w:rsid w:val="00F32F18"/>
    <w:rsid w:val="00F43BBA"/>
    <w:rsid w:val="00F4604F"/>
    <w:rsid w:val="00F46C29"/>
    <w:rsid w:val="00F5057C"/>
    <w:rsid w:val="00F54E1E"/>
    <w:rsid w:val="00F55D5F"/>
    <w:rsid w:val="00F5731F"/>
    <w:rsid w:val="00F603A9"/>
    <w:rsid w:val="00F62B9A"/>
    <w:rsid w:val="00F64A67"/>
    <w:rsid w:val="00F662B2"/>
    <w:rsid w:val="00F7227A"/>
    <w:rsid w:val="00F821A3"/>
    <w:rsid w:val="00F836E1"/>
    <w:rsid w:val="00F947CB"/>
    <w:rsid w:val="00F97AD9"/>
    <w:rsid w:val="00FA0107"/>
    <w:rsid w:val="00FA21C0"/>
    <w:rsid w:val="00FA4C5E"/>
    <w:rsid w:val="00FB3A6F"/>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F8"/>
    <w:rPr>
      <w:rFonts w:ascii="Arial" w:hAnsi="Arial"/>
      <w:sz w:val="24"/>
      <w:szCs w:val="24"/>
    </w:rPr>
  </w:style>
  <w:style w:type="paragraph" w:styleId="Heading1">
    <w:name w:val="heading 1"/>
    <w:basedOn w:val="Normal"/>
    <w:next w:val="Normal"/>
    <w:link w:val="Heading1Char"/>
    <w:uiPriority w:val="9"/>
    <w:qFormat/>
    <w:rsid w:val="00D56BF8"/>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D56BF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D56BF8"/>
    <w:pPr>
      <w:outlineLvl w:val="2"/>
    </w:pPr>
    <w:rPr>
      <w:rFonts w:cs="Arial"/>
      <w:i w:val="0"/>
    </w:rPr>
  </w:style>
  <w:style w:type="paragraph" w:styleId="Heading4">
    <w:name w:val="heading 4"/>
    <w:basedOn w:val="Normal"/>
    <w:next w:val="Normal"/>
    <w:link w:val="Heading4Char"/>
    <w:uiPriority w:val="9"/>
    <w:unhideWhenUsed/>
    <w:qFormat/>
    <w:rsid w:val="00D56BF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D56BF8"/>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D56BF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D56BF8"/>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56BF8"/>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56BF8"/>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D56B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6BF8"/>
  </w:style>
  <w:style w:type="character" w:customStyle="1" w:styleId="Heading1Char">
    <w:name w:val="Heading 1 Char"/>
    <w:basedOn w:val="DefaultParagraphFont"/>
    <w:link w:val="Heading1"/>
    <w:uiPriority w:val="9"/>
    <w:rsid w:val="00D56BF8"/>
    <w:rPr>
      <w:rFonts w:ascii="Arial" w:eastAsiaTheme="majorEastAsia" w:hAnsi="Arial" w:cstheme="majorBidi"/>
      <w:sz w:val="40"/>
    </w:rPr>
  </w:style>
  <w:style w:type="character" w:customStyle="1" w:styleId="Heading2Char">
    <w:name w:val="Heading 2 Char"/>
    <w:basedOn w:val="DefaultParagraphFont"/>
    <w:link w:val="Heading2"/>
    <w:uiPriority w:val="9"/>
    <w:rsid w:val="00D56BF8"/>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D56BF8"/>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D56BF8"/>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D56BF8"/>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D56BF8"/>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D56BF8"/>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56BF8"/>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56BF8"/>
    <w:rPr>
      <w:rFonts w:ascii="Arial" w:eastAsiaTheme="majorEastAsia" w:hAnsi="Arial" w:cstheme="majorBidi"/>
      <w:i/>
      <w:iCs/>
      <w:sz w:val="24"/>
    </w:rPr>
  </w:style>
  <w:style w:type="paragraph" w:styleId="Title">
    <w:name w:val="Title"/>
    <w:basedOn w:val="Normal"/>
    <w:next w:val="Normal"/>
    <w:link w:val="TitleChar"/>
    <w:uiPriority w:val="9"/>
    <w:qFormat/>
    <w:rsid w:val="00D56BF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D56BF8"/>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D56BF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56BF8"/>
    <w:rPr>
      <w:rFonts w:ascii="Arial" w:eastAsiaTheme="majorEastAsia" w:hAnsi="Arial" w:cstheme="majorBidi"/>
      <w:i/>
      <w:iCs/>
      <w:spacing w:val="15"/>
      <w:sz w:val="24"/>
      <w:szCs w:val="24"/>
    </w:rPr>
  </w:style>
  <w:style w:type="character" w:styleId="Strong">
    <w:name w:val="Strong"/>
    <w:basedOn w:val="DefaultParagraphFont"/>
    <w:uiPriority w:val="22"/>
    <w:qFormat/>
    <w:rsid w:val="00D56BF8"/>
    <w:rPr>
      <w:rFonts w:ascii="Arial" w:hAnsi="Arial"/>
      <w:b/>
      <w:bCs/>
    </w:rPr>
  </w:style>
  <w:style w:type="character" w:styleId="Emphasis">
    <w:name w:val="Emphasis"/>
    <w:basedOn w:val="DefaultParagraphFont"/>
    <w:uiPriority w:val="20"/>
    <w:qFormat/>
    <w:rsid w:val="00D56BF8"/>
    <w:rPr>
      <w:rFonts w:ascii="Arial" w:hAnsi="Arial"/>
      <w:i/>
      <w:iCs/>
    </w:rPr>
  </w:style>
  <w:style w:type="paragraph" w:styleId="NoSpacing">
    <w:name w:val="No Spacing"/>
    <w:uiPriority w:val="1"/>
    <w:qFormat/>
    <w:rsid w:val="00D56BF8"/>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D56BF8"/>
    <w:pPr>
      <w:ind w:left="720"/>
      <w:contextualSpacing/>
    </w:pPr>
  </w:style>
  <w:style w:type="paragraph" w:styleId="Quote">
    <w:name w:val="Quote"/>
    <w:basedOn w:val="Normal"/>
    <w:next w:val="Normal"/>
    <w:link w:val="QuoteChar"/>
    <w:uiPriority w:val="29"/>
    <w:qFormat/>
    <w:rsid w:val="00D56BF8"/>
    <w:rPr>
      <w:i/>
      <w:iCs/>
      <w:color w:val="000000" w:themeColor="text1"/>
    </w:rPr>
  </w:style>
  <w:style w:type="character" w:customStyle="1" w:styleId="QuoteChar">
    <w:name w:val="Quote Char"/>
    <w:basedOn w:val="DefaultParagraphFont"/>
    <w:link w:val="Quote"/>
    <w:uiPriority w:val="29"/>
    <w:rsid w:val="00D56BF8"/>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D56BF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D56BF8"/>
    <w:rPr>
      <w:rFonts w:ascii="Arial" w:hAnsi="Arial"/>
      <w:b/>
      <w:bCs/>
      <w:i/>
      <w:iCs/>
      <w:sz w:val="24"/>
      <w:szCs w:val="24"/>
    </w:rPr>
  </w:style>
  <w:style w:type="character" w:styleId="SubtleEmphasis">
    <w:name w:val="Subtle Emphasis"/>
    <w:basedOn w:val="DefaultParagraphFont"/>
    <w:uiPriority w:val="19"/>
    <w:qFormat/>
    <w:rsid w:val="00D56BF8"/>
    <w:rPr>
      <w:rFonts w:ascii="Arial" w:hAnsi="Arial"/>
      <w:i/>
      <w:iCs/>
      <w:color w:val="808080" w:themeColor="text1" w:themeTint="7F"/>
    </w:rPr>
  </w:style>
  <w:style w:type="character" w:styleId="IntenseEmphasis">
    <w:name w:val="Intense Emphasis"/>
    <w:basedOn w:val="DefaultParagraphFont"/>
    <w:uiPriority w:val="21"/>
    <w:qFormat/>
    <w:rsid w:val="00D56BF8"/>
    <w:rPr>
      <w:rFonts w:ascii="Arial" w:hAnsi="Arial"/>
      <w:b/>
      <w:bCs/>
    </w:rPr>
  </w:style>
  <w:style w:type="character" w:styleId="SubtleReference">
    <w:name w:val="Subtle Reference"/>
    <w:basedOn w:val="DefaultParagraphFont"/>
    <w:uiPriority w:val="31"/>
    <w:qFormat/>
    <w:rsid w:val="00D56BF8"/>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D56BF8"/>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D56BF8"/>
    <w:rPr>
      <w:color w:val="800080" w:themeColor="followedHyperlink"/>
      <w:u w:val="single"/>
    </w:rPr>
  </w:style>
  <w:style w:type="paragraph" w:styleId="NormalWeb">
    <w:name w:val="Normal (Web)"/>
    <w:basedOn w:val="Normal"/>
    <w:uiPriority w:val="99"/>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D56BF8"/>
    <w:rPr>
      <w:b/>
      <w:bCs/>
      <w:smallCaps/>
      <w:color w:val="C0504D" w:themeColor="accent2"/>
      <w:spacing w:val="5"/>
      <w:u w:val="single"/>
    </w:rPr>
  </w:style>
  <w:style w:type="character" w:styleId="BookTitle">
    <w:name w:val="Book Title"/>
    <w:basedOn w:val="DefaultParagraphFont"/>
    <w:uiPriority w:val="33"/>
    <w:qFormat/>
    <w:rsid w:val="00D56BF8"/>
    <w:rPr>
      <w:b/>
      <w:bCs/>
      <w:smallCaps/>
      <w:spacing w:val="5"/>
    </w:rPr>
  </w:style>
  <w:style w:type="paragraph" w:customStyle="1" w:styleId="AppleFill">
    <w:name w:val="Apple Fill"/>
    <w:basedOn w:val="Normal"/>
    <w:link w:val="AppleFillChar"/>
    <w:uiPriority w:val="10"/>
    <w:qFormat/>
    <w:rsid w:val="00D56BF8"/>
    <w:rPr>
      <w:b/>
      <w:color w:val="FFFFFF" w:themeColor="background1"/>
      <w:shd w:val="clear" w:color="auto" w:fill="9BBB59" w:themeFill="accent3"/>
    </w:rPr>
  </w:style>
  <w:style w:type="paragraph" w:customStyle="1" w:styleId="AquaFill">
    <w:name w:val="Aqua Fill"/>
    <w:basedOn w:val="Normal"/>
    <w:link w:val="AquaFillChar"/>
    <w:uiPriority w:val="10"/>
    <w:qFormat/>
    <w:rsid w:val="00D56BF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D56BF8"/>
    <w:rPr>
      <w:rFonts w:ascii="Arial" w:hAnsi="Arial"/>
      <w:b/>
      <w:color w:val="FFFFFF" w:themeColor="background1"/>
      <w:sz w:val="24"/>
      <w:szCs w:val="24"/>
    </w:rPr>
  </w:style>
  <w:style w:type="paragraph" w:customStyle="1" w:styleId="WineFill">
    <w:name w:val="Wine Fill"/>
    <w:basedOn w:val="Normal"/>
    <w:link w:val="WineFillChar"/>
    <w:uiPriority w:val="9"/>
    <w:qFormat/>
    <w:rsid w:val="00D56BF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D56BF8"/>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D56BF8"/>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7D525C"/>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GC_117743452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Health Care Funding Task Force</committee>
    <meetingId xmlns="e6cd7bd4-3f3e-4495-b8c9-139289cd76e6">[2021-11-22 Health Care Funding Task Force [11204]]</meetingId>
    <capitalProjectPriority xmlns="e6cd7bd4-3f3e-4495-b8c9-139289cd76e6" xsi:nil="true"/>
    <policyApprovalDate xmlns="e6cd7bd4-3f3e-4495-b8c9-139289cd76e6" xsi:nil="true"/>
    <NodeRef xmlns="e6cd7bd4-3f3e-4495-b8c9-139289cd76e6">db151b4b-930f-4429-a242-6c57093738f3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258E21C8-416D-4A5F-83CA-F41099885B74}"/>
</file>

<file path=customXml/itemProps2.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3.xml><?xml version="1.0" encoding="utf-8"?>
<ds:datastoreItem xmlns:ds="http://schemas.openxmlformats.org/officeDocument/2006/customXml" ds:itemID="{C034D79F-4746-4088-9501-C74242836C27}">
  <ds:schemaRefs>
    <ds:schemaRef ds:uri="http://purl.org/dc/terms/"/>
    <ds:schemaRef ds:uri="http://schemas.openxmlformats.org/package/2006/metadata/core-properties"/>
    <ds:schemaRef ds:uri="http://purl.org/dc/dcmitype/"/>
    <ds:schemaRef ds:uri="http://schemas.microsoft.com/office/infopath/2007/PartnerControls"/>
    <ds:schemaRef ds:uri="9e0655d3-2de9-420f-a513-3f5c522f8a4c"/>
    <ds:schemaRef ds:uri="http://schemas.microsoft.com/office/2006/documentManagement/types"/>
    <ds:schemaRef ds:uri="http://purl.org/dc/elements/1.1/"/>
    <ds:schemaRef ds:uri="5e0bac25-66ac-4bb1-b391-4c16a8864d9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5.xml><?xml version="1.0" encoding="utf-8"?>
<ds:datastoreItem xmlns:ds="http://schemas.openxmlformats.org/officeDocument/2006/customXml" ds:itemID="{FF957B80-5028-492C-8849-837AA4750DE4}"/>
</file>

<file path=docProps/app.xml><?xml version="1.0" encoding="utf-8"?>
<Properties xmlns="http://schemas.openxmlformats.org/officeDocument/2006/extended-properties" xmlns:vt="http://schemas.openxmlformats.org/officeDocument/2006/docPropsVTypes">
  <Template>Normal</Template>
  <TotalTime>110</TotalTime>
  <Pages>8</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Proposed Health Care Funding Policy</vt:lpstr>
    </vt:vector>
  </TitlesOfParts>
  <Company>County of Grey</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Health Care Funding Policy</dc:title>
  <dc:creator>Elder, Nancy</dc:creator>
  <cp:lastModifiedBy>Tara Warder</cp:lastModifiedBy>
  <cp:revision>13</cp:revision>
  <cp:lastPrinted>2014-04-01T13:48:00Z</cp:lastPrinted>
  <dcterms:created xsi:type="dcterms:W3CDTF">2021-11-14T23:06:00Z</dcterms:created>
  <dcterms:modified xsi:type="dcterms:W3CDTF">2022-02-01T01:02:00Z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