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E3F07">
        <w:t>FR</w:t>
      </w:r>
      <w:r w:rsidRPr="00FB686F">
        <w:t>-</w:t>
      </w:r>
      <w:r w:rsidR="009E3F07">
        <w:t>SS</w:t>
      </w:r>
      <w:r w:rsidR="00A607A3">
        <w:t>-</w:t>
      </w:r>
      <w:r w:rsidR="009E3F07">
        <w:t>0</w:t>
      </w:r>
      <w:r w:rsidR="006F4FDE">
        <w:t>6</w:t>
      </w:r>
      <w:r w:rsidR="00A607A3">
        <w:t>-</w:t>
      </w:r>
      <w:r w:rsidR="009E3F07">
        <w:t>1</w:t>
      </w:r>
      <w:r w:rsidR="006F4FDE">
        <w:t>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9E3F07">
        <w:t>Chair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E3F07">
        <w:t>Mary Lou Spicer, Deputy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E3F07">
        <w:t xml:space="preserve">December </w:t>
      </w:r>
      <w:r w:rsidR="006F4FDE">
        <w:t>9, 2015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9E3F07">
        <w:rPr>
          <w:rStyle w:val="Strong"/>
        </w:rPr>
        <w:t>Housing Write Off of Uncollectible Accounts</w:t>
      </w:r>
    </w:p>
    <w:p w:rsidR="006F4FDE" w:rsidRDefault="00AC3A8B" w:rsidP="00AC3A8B">
      <w:pPr>
        <w:pStyle w:val="NoSpacing"/>
        <w:tabs>
          <w:tab w:val="left" w:pos="1890"/>
        </w:tabs>
        <w:spacing w:line="276" w:lineRule="auto"/>
        <w:ind w:left="1890" w:hanging="1890"/>
      </w:pPr>
      <w:r w:rsidRPr="00FB686F">
        <w:rPr>
          <w:rStyle w:val="Strong"/>
        </w:rPr>
        <w:t>Status</w:t>
      </w:r>
      <w:r w:rsidRPr="00FB686F">
        <w:t>:</w:t>
      </w:r>
      <w:r w:rsidRPr="00451D2E">
        <w:tab/>
      </w:r>
      <w:r w:rsidR="00522C2F">
        <w:t>Recommendation adopted by Committee as presented per Resolution SSC10-16; Endorsed by County Council January 5, 2016 per Resolution CC13-16;</w:t>
      </w:r>
      <w:bookmarkStart w:id="0" w:name="_GoBack"/>
      <w:bookmarkEnd w:id="0"/>
    </w:p>
    <w:p w:rsidR="00AC3A8B" w:rsidRPr="00FB686F" w:rsidRDefault="00AC3A8B" w:rsidP="00094DC0">
      <w:pPr>
        <w:pStyle w:val="Heading2"/>
      </w:pPr>
      <w:r w:rsidRPr="00FB686F">
        <w:t>Recommendation(s)</w:t>
      </w:r>
    </w:p>
    <w:p w:rsidR="00AC3A8B" w:rsidRDefault="009E3F07" w:rsidP="00AC3A8B">
      <w:pPr>
        <w:rPr>
          <w:b/>
        </w:rPr>
      </w:pPr>
      <w:r>
        <w:rPr>
          <w:b/>
        </w:rPr>
        <w:t>THAT Report FR-SS-0</w:t>
      </w:r>
      <w:r w:rsidR="006F4FDE">
        <w:rPr>
          <w:b/>
        </w:rPr>
        <w:t>6</w:t>
      </w:r>
      <w:r>
        <w:rPr>
          <w:b/>
        </w:rPr>
        <w:t>-1</w:t>
      </w:r>
      <w:r w:rsidR="006F4FDE">
        <w:rPr>
          <w:b/>
        </w:rPr>
        <w:t>6</w:t>
      </w:r>
      <w:r>
        <w:rPr>
          <w:b/>
        </w:rPr>
        <w:t xml:space="preserve"> regarding the year end write off of uncollectible accounts receivable balances for the Housing department </w:t>
      </w:r>
      <w:proofErr w:type="gramStart"/>
      <w:r>
        <w:rPr>
          <w:b/>
        </w:rPr>
        <w:t>be</w:t>
      </w:r>
      <w:proofErr w:type="gramEnd"/>
      <w:r>
        <w:rPr>
          <w:b/>
        </w:rPr>
        <w:t xml:space="preserve"> received;</w:t>
      </w:r>
    </w:p>
    <w:p w:rsidR="009E3F07" w:rsidRDefault="009E3F07" w:rsidP="00AC3A8B">
      <w:pPr>
        <w:rPr>
          <w:b/>
        </w:rPr>
      </w:pPr>
      <w:r>
        <w:rPr>
          <w:b/>
        </w:rPr>
        <w:t>AND THAT accounts receivable balances totaling $</w:t>
      </w:r>
      <w:r w:rsidR="006F4FDE">
        <w:rPr>
          <w:b/>
        </w:rPr>
        <w:t>16,224.70</w:t>
      </w:r>
      <w:r>
        <w:rPr>
          <w:b/>
        </w:rPr>
        <w:t xml:space="preserve"> from former</w:t>
      </w:r>
      <w:r w:rsidR="005E100E">
        <w:rPr>
          <w:b/>
        </w:rPr>
        <w:t xml:space="preserve"> Housing tenants be written off;</w:t>
      </w:r>
    </w:p>
    <w:p w:rsidR="005E100E" w:rsidRPr="00CA6DB9" w:rsidRDefault="005E100E" w:rsidP="00AC3A8B">
      <w:pPr>
        <w:rPr>
          <w:b/>
        </w:rPr>
      </w:pPr>
      <w:r>
        <w:rPr>
          <w:b/>
        </w:rPr>
        <w:t xml:space="preserve">AND FURTHER THAT </w:t>
      </w:r>
      <w:r w:rsidR="00F257E0">
        <w:rPr>
          <w:b/>
        </w:rPr>
        <w:t>a corporate receivables management policy be developed</w:t>
      </w:r>
      <w:r w:rsidR="00B73155">
        <w:rPr>
          <w:b/>
        </w:rPr>
        <w:t xml:space="preserve"> in 2016</w:t>
      </w:r>
      <w:r w:rsidR="00F257E0">
        <w:rPr>
          <w:b/>
        </w:rPr>
        <w:t>.</w:t>
      </w:r>
    </w:p>
    <w:p w:rsidR="00AC3A8B" w:rsidRDefault="00AC3A8B" w:rsidP="00AC3A8B">
      <w:pPr>
        <w:pStyle w:val="Heading2"/>
      </w:pPr>
      <w:r w:rsidRPr="00B0378D">
        <w:t>Background</w:t>
      </w:r>
    </w:p>
    <w:p w:rsidR="00AC3A8B" w:rsidRDefault="009E3F07" w:rsidP="00AC3A8B">
      <w:r>
        <w:t>The Finance Department prepares an entry at year end to write off accounts receivable balances for former Housing tenants that meets the following criteria.  The charges originate prior to June 30, 201</w:t>
      </w:r>
      <w:r w:rsidR="00094EFC">
        <w:t>5</w:t>
      </w:r>
      <w:r>
        <w:t xml:space="preserve"> and the account has no repayment activity or the tenant moved after June 30 and staff is confident the account is uncollectible.</w:t>
      </w:r>
    </w:p>
    <w:p w:rsidR="009E3F07" w:rsidRDefault="009E3F07" w:rsidP="00AC3A8B">
      <w:r>
        <w:t>Although the accounts are written off for accounting</w:t>
      </w:r>
      <w:r w:rsidR="00BC0B30">
        <w:t xml:space="preserve"> purposes, this does not negate the responsibility to attempt and collect the receivable.  Previous tenants with balances owing are not eligible for subsidized housing with The County of Grey or other housing providers in the province until such time as payment is made or a repayment schedule is in place.  In most instances, the reason a former tenant makes payment is to become eligible for housing.</w:t>
      </w:r>
    </w:p>
    <w:p w:rsidR="00BC0B30" w:rsidRDefault="00BC0B30" w:rsidP="00AC3A8B">
      <w:r>
        <w:t>A total of $</w:t>
      </w:r>
      <w:r w:rsidR="006F4FDE">
        <w:t>16,224.70</w:t>
      </w:r>
      <w:r>
        <w:t xml:space="preserve"> meets the criteria outlined above and</w:t>
      </w:r>
      <w:r w:rsidR="005E0A76">
        <w:t xml:space="preserve"> is</w:t>
      </w:r>
      <w:r>
        <w:t xml:space="preserve"> </w:t>
      </w:r>
      <w:r w:rsidR="006F4FDE">
        <w:t>below</w:t>
      </w:r>
      <w:r>
        <w:t xml:space="preserve"> the $40,000 budgeted amount.  The recommended write off represents account balances that range from -$</w:t>
      </w:r>
      <w:r w:rsidR="006F4FDE">
        <w:t>0</w:t>
      </w:r>
      <w:r>
        <w:t>.</w:t>
      </w:r>
      <w:r w:rsidR="006F4FDE">
        <w:t>01</w:t>
      </w:r>
      <w:r>
        <w:t xml:space="preserve"> to $</w:t>
      </w:r>
      <w:r w:rsidR="006F4FDE">
        <w:t>3,077.98</w:t>
      </w:r>
      <w:r>
        <w:t xml:space="preserve"> </w:t>
      </w:r>
      <w:r w:rsidR="006F4FDE">
        <w:t>with 76.5% of</w:t>
      </w:r>
      <w:r>
        <w:t xml:space="preserve"> the arrears </w:t>
      </w:r>
      <w:r w:rsidR="006F4FDE">
        <w:t>f</w:t>
      </w:r>
      <w:r>
        <w:t>rom former family unit tenants</w:t>
      </w:r>
      <w:r w:rsidR="006F4FDE">
        <w:t xml:space="preserve"> as compared to 67% in 2014.</w:t>
      </w:r>
      <w:r w:rsidR="00F257E0">
        <w:t xml:space="preserve">  The recommended write off amount represents </w:t>
      </w:r>
      <w:r w:rsidR="00F257E0">
        <w:lastRenderedPageBreak/>
        <w:t xml:space="preserve">0.0044% of the 2015 budgeted revenue from tenants or </w:t>
      </w:r>
      <w:r w:rsidR="00B73155">
        <w:t>19.36% of the total arrears as of November 30.</w:t>
      </w:r>
    </w:p>
    <w:p w:rsidR="00F16576" w:rsidRDefault="00F16576" w:rsidP="00AC3A8B">
      <w:r>
        <w:t xml:space="preserve">The Housing Department process is to send a reminder letter after the tenth day of the month to </w:t>
      </w:r>
      <w:proofErr w:type="gramStart"/>
      <w:r>
        <w:t>advise</w:t>
      </w:r>
      <w:proofErr w:type="gramEnd"/>
      <w:r>
        <w:t xml:space="preserve"> that the rent is overdue; staff will work with the tenant to determine when the rent will be paid and if a payment plan is needed.  Often the tenant is behind in rent as the result of unexpected circumstances such as car repairs, </w:t>
      </w:r>
      <w:r w:rsidR="003B3785">
        <w:t>inability</w:t>
      </w:r>
      <w:r>
        <w:t xml:space="preserve"> to attend work as they or their child is sick.  Staff attempts to work with the tenant to maintain residency; as a result, with this process there are less arrears and lower evictions than in the past due to unpaid rent.  In some cases where it is simply a non-payment of rent, staff may take the tenant to the Tribunal Board and request a formal payment plan and if necessary, eviction.  </w:t>
      </w:r>
    </w:p>
    <w:p w:rsidR="00B73155" w:rsidRDefault="00B73155" w:rsidP="00B73155">
      <w:r>
        <w:t xml:space="preserve">Finance staff will bring forward a corporate receivables management policy that will formalize processes, minimize exposure to bad debts and recommend that the write-off of uncollectible accounts be authorized by the Director of Finance.  </w:t>
      </w:r>
      <w:r w:rsidR="00EF5B13">
        <w:t>The following chart provides comparative information for the current proposed</w:t>
      </w:r>
      <w:r>
        <w:t xml:space="preserve"> write off and the previous five</w:t>
      </w:r>
      <w:r w:rsidR="00EF5B13">
        <w:t xml:space="preserve"> years.</w:t>
      </w:r>
    </w:p>
    <w:p w:rsidR="00AC3A8B" w:rsidRPr="00217518" w:rsidRDefault="00EF5B13" w:rsidP="00B73155">
      <w:r>
        <w:t xml:space="preserve">Summary of Accounts Receivable Write </w:t>
      </w:r>
      <w:proofErr w:type="gramStart"/>
      <w:r>
        <w:t>Off</w:t>
      </w:r>
      <w:proofErr w:type="gramEnd"/>
      <w:r>
        <w:t xml:space="preserve"> and Bad Debt Recovery</w:t>
      </w:r>
      <w:r w:rsidR="00AC3A8B" w:rsidRPr="00217518">
        <w:t xml:space="preserve"> </w:t>
      </w:r>
    </w:p>
    <w:tbl>
      <w:tblPr>
        <w:tblStyle w:val="TableGrid"/>
        <w:tblW w:w="0" w:type="auto"/>
        <w:tblLook w:val="04A0" w:firstRow="1" w:lastRow="0" w:firstColumn="1" w:lastColumn="0" w:noHBand="0" w:noVBand="1"/>
        <w:tblCaption w:val="Summary of Accounts Receivable Write Off and Bad Debt Recovery"/>
        <w:tblDescription w:val="Summary by year for 2010 to 2014 of the amounts written off, the number of accounts written off and the amount of bad debt recovery"/>
      </w:tblPr>
      <w:tblGrid>
        <w:gridCol w:w="1458"/>
        <w:gridCol w:w="2372"/>
        <w:gridCol w:w="1915"/>
        <w:gridCol w:w="3633"/>
      </w:tblGrid>
      <w:tr w:rsidR="00D31598" w:rsidTr="00DA3282">
        <w:trPr>
          <w:tblHeader/>
        </w:trPr>
        <w:tc>
          <w:tcPr>
            <w:tcW w:w="1458" w:type="dxa"/>
          </w:tcPr>
          <w:p w:rsidR="00D31598" w:rsidRPr="00D31598" w:rsidRDefault="00D31598" w:rsidP="00AC3A8B">
            <w:pPr>
              <w:pStyle w:val="Heading2"/>
              <w:outlineLvl w:val="1"/>
              <w:rPr>
                <w:sz w:val="28"/>
                <w:szCs w:val="28"/>
              </w:rPr>
            </w:pPr>
            <w:r w:rsidRPr="00D31598">
              <w:rPr>
                <w:sz w:val="28"/>
                <w:szCs w:val="28"/>
              </w:rPr>
              <w:lastRenderedPageBreak/>
              <w:t>Year</w:t>
            </w:r>
          </w:p>
        </w:tc>
        <w:tc>
          <w:tcPr>
            <w:tcW w:w="2372" w:type="dxa"/>
          </w:tcPr>
          <w:p w:rsidR="00D31598" w:rsidRPr="00D31598" w:rsidRDefault="00D31598" w:rsidP="00AC3A8B">
            <w:pPr>
              <w:pStyle w:val="Heading2"/>
              <w:outlineLvl w:val="1"/>
              <w:rPr>
                <w:sz w:val="28"/>
                <w:szCs w:val="28"/>
              </w:rPr>
            </w:pPr>
            <w:r>
              <w:rPr>
                <w:sz w:val="28"/>
                <w:szCs w:val="28"/>
              </w:rPr>
              <w:t>Amount of Write Off</w:t>
            </w:r>
          </w:p>
        </w:tc>
        <w:tc>
          <w:tcPr>
            <w:tcW w:w="1915" w:type="dxa"/>
          </w:tcPr>
          <w:p w:rsidR="00D31598" w:rsidRPr="00D31598" w:rsidRDefault="00D31598" w:rsidP="00AC3A8B">
            <w:pPr>
              <w:pStyle w:val="Heading2"/>
              <w:outlineLvl w:val="1"/>
              <w:rPr>
                <w:sz w:val="28"/>
                <w:szCs w:val="28"/>
              </w:rPr>
            </w:pPr>
            <w:r>
              <w:rPr>
                <w:sz w:val="28"/>
                <w:szCs w:val="28"/>
              </w:rPr>
              <w:t>Number of Accounts Written off</w:t>
            </w:r>
          </w:p>
        </w:tc>
        <w:tc>
          <w:tcPr>
            <w:tcW w:w="3633" w:type="dxa"/>
          </w:tcPr>
          <w:p w:rsidR="00D31598" w:rsidRDefault="00D31598" w:rsidP="00AC3A8B">
            <w:pPr>
              <w:pStyle w:val="Heading2"/>
              <w:outlineLvl w:val="1"/>
              <w:rPr>
                <w:sz w:val="28"/>
                <w:szCs w:val="28"/>
              </w:rPr>
            </w:pPr>
            <w:r>
              <w:rPr>
                <w:sz w:val="28"/>
                <w:szCs w:val="28"/>
              </w:rPr>
              <w:t>Amount of Bad Debt Recovery</w:t>
            </w:r>
          </w:p>
          <w:p w:rsidR="00D31598" w:rsidRPr="00D31598" w:rsidRDefault="00D31598" w:rsidP="00D31598"/>
        </w:tc>
      </w:tr>
      <w:tr w:rsidR="006F4FDE" w:rsidTr="00D31598">
        <w:tc>
          <w:tcPr>
            <w:tcW w:w="1458" w:type="dxa"/>
          </w:tcPr>
          <w:p w:rsidR="006F4FDE" w:rsidRPr="00D31598" w:rsidRDefault="006F4FDE" w:rsidP="00AC3A8B">
            <w:pPr>
              <w:pStyle w:val="Heading2"/>
              <w:outlineLvl w:val="1"/>
              <w:rPr>
                <w:sz w:val="24"/>
                <w:szCs w:val="24"/>
              </w:rPr>
            </w:pPr>
            <w:r>
              <w:rPr>
                <w:sz w:val="24"/>
                <w:szCs w:val="24"/>
              </w:rPr>
              <w:t>2015</w:t>
            </w:r>
          </w:p>
        </w:tc>
        <w:tc>
          <w:tcPr>
            <w:tcW w:w="2372" w:type="dxa"/>
          </w:tcPr>
          <w:p w:rsidR="006F4FDE" w:rsidRPr="00D31598" w:rsidRDefault="006F4FDE" w:rsidP="00AC3A8B">
            <w:pPr>
              <w:pStyle w:val="Heading2"/>
              <w:outlineLvl w:val="1"/>
              <w:rPr>
                <w:sz w:val="24"/>
                <w:szCs w:val="24"/>
              </w:rPr>
            </w:pPr>
            <w:r>
              <w:rPr>
                <w:sz w:val="24"/>
                <w:szCs w:val="24"/>
              </w:rPr>
              <w:t>$16,224.70</w:t>
            </w:r>
          </w:p>
        </w:tc>
        <w:tc>
          <w:tcPr>
            <w:tcW w:w="1915" w:type="dxa"/>
          </w:tcPr>
          <w:p w:rsidR="006F4FDE" w:rsidRPr="00D31598" w:rsidRDefault="006F4FDE" w:rsidP="00AC3A8B">
            <w:pPr>
              <w:pStyle w:val="Heading2"/>
              <w:outlineLvl w:val="1"/>
              <w:rPr>
                <w:sz w:val="24"/>
                <w:szCs w:val="24"/>
              </w:rPr>
            </w:pPr>
            <w:r>
              <w:rPr>
                <w:sz w:val="24"/>
                <w:szCs w:val="24"/>
              </w:rPr>
              <w:t>14</w:t>
            </w:r>
          </w:p>
        </w:tc>
        <w:tc>
          <w:tcPr>
            <w:tcW w:w="3633" w:type="dxa"/>
          </w:tcPr>
          <w:p w:rsidR="006F4FDE" w:rsidRDefault="006F4FDE" w:rsidP="00AC3A8B">
            <w:pPr>
              <w:pStyle w:val="Heading2"/>
              <w:outlineLvl w:val="1"/>
              <w:rPr>
                <w:sz w:val="24"/>
                <w:szCs w:val="24"/>
              </w:rPr>
            </w:pPr>
            <w:r>
              <w:rPr>
                <w:sz w:val="24"/>
                <w:szCs w:val="24"/>
              </w:rPr>
              <w:t>$3,512.79</w:t>
            </w:r>
          </w:p>
          <w:p w:rsidR="006F4FDE" w:rsidRPr="006F4FDE" w:rsidRDefault="006F4FDE" w:rsidP="006F4FDE">
            <w:r>
              <w:t>(Jan 1 – Oct 31, 2015)</w:t>
            </w:r>
          </w:p>
        </w:tc>
      </w:tr>
      <w:tr w:rsidR="00D31598" w:rsidTr="00D31598">
        <w:tc>
          <w:tcPr>
            <w:tcW w:w="1458" w:type="dxa"/>
          </w:tcPr>
          <w:p w:rsidR="00D31598" w:rsidRPr="00D31598" w:rsidRDefault="00D31598" w:rsidP="00AC3A8B">
            <w:pPr>
              <w:pStyle w:val="Heading2"/>
              <w:outlineLvl w:val="1"/>
              <w:rPr>
                <w:sz w:val="24"/>
                <w:szCs w:val="24"/>
              </w:rPr>
            </w:pPr>
            <w:r w:rsidRPr="00D31598">
              <w:rPr>
                <w:sz w:val="24"/>
                <w:szCs w:val="24"/>
              </w:rPr>
              <w:t>2014</w:t>
            </w:r>
          </w:p>
        </w:tc>
        <w:tc>
          <w:tcPr>
            <w:tcW w:w="2372" w:type="dxa"/>
          </w:tcPr>
          <w:p w:rsidR="00D31598" w:rsidRPr="00D31598" w:rsidRDefault="00D31598" w:rsidP="00AC3A8B">
            <w:pPr>
              <w:pStyle w:val="Heading2"/>
              <w:outlineLvl w:val="1"/>
              <w:rPr>
                <w:sz w:val="24"/>
                <w:szCs w:val="24"/>
              </w:rPr>
            </w:pPr>
            <w:r w:rsidRPr="00D31598">
              <w:rPr>
                <w:sz w:val="24"/>
                <w:szCs w:val="24"/>
              </w:rPr>
              <w:t>$34,317.39</w:t>
            </w:r>
          </w:p>
        </w:tc>
        <w:tc>
          <w:tcPr>
            <w:tcW w:w="1915" w:type="dxa"/>
          </w:tcPr>
          <w:p w:rsidR="00D31598" w:rsidRPr="00D31598" w:rsidRDefault="00D31598" w:rsidP="00AC3A8B">
            <w:pPr>
              <w:pStyle w:val="Heading2"/>
              <w:outlineLvl w:val="1"/>
              <w:rPr>
                <w:sz w:val="24"/>
                <w:szCs w:val="24"/>
              </w:rPr>
            </w:pPr>
            <w:r w:rsidRPr="00D31598">
              <w:rPr>
                <w:sz w:val="24"/>
                <w:szCs w:val="24"/>
              </w:rPr>
              <w:t>32</w:t>
            </w:r>
          </w:p>
        </w:tc>
        <w:tc>
          <w:tcPr>
            <w:tcW w:w="3633" w:type="dxa"/>
          </w:tcPr>
          <w:p w:rsidR="00D31598" w:rsidRPr="006F4FDE" w:rsidRDefault="006F4FDE" w:rsidP="006F4FDE">
            <w:pPr>
              <w:pStyle w:val="Heading2"/>
              <w:outlineLvl w:val="1"/>
              <w:rPr>
                <w:sz w:val="24"/>
                <w:szCs w:val="24"/>
              </w:rPr>
            </w:pPr>
            <w:r>
              <w:rPr>
                <w:sz w:val="24"/>
                <w:szCs w:val="24"/>
              </w:rPr>
              <w:t>$1,111.11</w:t>
            </w:r>
          </w:p>
        </w:tc>
      </w:tr>
      <w:tr w:rsidR="00D31598" w:rsidTr="00D31598">
        <w:tc>
          <w:tcPr>
            <w:tcW w:w="1458" w:type="dxa"/>
          </w:tcPr>
          <w:p w:rsidR="00D31598" w:rsidRPr="00D31598" w:rsidRDefault="00D31598" w:rsidP="00AC3A8B">
            <w:pPr>
              <w:pStyle w:val="Heading2"/>
              <w:outlineLvl w:val="1"/>
              <w:rPr>
                <w:sz w:val="24"/>
                <w:szCs w:val="24"/>
              </w:rPr>
            </w:pPr>
            <w:r>
              <w:rPr>
                <w:sz w:val="24"/>
                <w:szCs w:val="24"/>
              </w:rPr>
              <w:t>2013</w:t>
            </w:r>
          </w:p>
        </w:tc>
        <w:tc>
          <w:tcPr>
            <w:tcW w:w="2372" w:type="dxa"/>
          </w:tcPr>
          <w:p w:rsidR="00D31598" w:rsidRPr="00D31598" w:rsidRDefault="00D31598" w:rsidP="00AC3A8B">
            <w:pPr>
              <w:pStyle w:val="Heading2"/>
              <w:outlineLvl w:val="1"/>
              <w:rPr>
                <w:sz w:val="24"/>
                <w:szCs w:val="24"/>
              </w:rPr>
            </w:pPr>
            <w:r>
              <w:rPr>
                <w:sz w:val="24"/>
                <w:szCs w:val="24"/>
              </w:rPr>
              <w:t>$44,729.92</w:t>
            </w:r>
          </w:p>
        </w:tc>
        <w:tc>
          <w:tcPr>
            <w:tcW w:w="1915" w:type="dxa"/>
          </w:tcPr>
          <w:p w:rsidR="00D31598" w:rsidRPr="00D31598" w:rsidRDefault="00D31598" w:rsidP="00AC3A8B">
            <w:pPr>
              <w:pStyle w:val="Heading2"/>
              <w:outlineLvl w:val="1"/>
              <w:rPr>
                <w:sz w:val="24"/>
                <w:szCs w:val="24"/>
              </w:rPr>
            </w:pPr>
            <w:r>
              <w:rPr>
                <w:sz w:val="24"/>
                <w:szCs w:val="24"/>
              </w:rPr>
              <w:t>32</w:t>
            </w:r>
          </w:p>
        </w:tc>
        <w:tc>
          <w:tcPr>
            <w:tcW w:w="3633" w:type="dxa"/>
          </w:tcPr>
          <w:p w:rsidR="00D31598" w:rsidRPr="00D31598" w:rsidRDefault="00D31598" w:rsidP="00AC3A8B">
            <w:pPr>
              <w:pStyle w:val="Heading2"/>
              <w:outlineLvl w:val="1"/>
              <w:rPr>
                <w:sz w:val="24"/>
                <w:szCs w:val="24"/>
              </w:rPr>
            </w:pPr>
            <w:r>
              <w:rPr>
                <w:sz w:val="24"/>
                <w:szCs w:val="24"/>
              </w:rPr>
              <w:t>$1,318.56</w:t>
            </w:r>
          </w:p>
        </w:tc>
      </w:tr>
      <w:tr w:rsidR="00D31598" w:rsidTr="00D31598">
        <w:tc>
          <w:tcPr>
            <w:tcW w:w="1458" w:type="dxa"/>
          </w:tcPr>
          <w:p w:rsidR="00D31598" w:rsidRPr="00D31598" w:rsidRDefault="00D31598" w:rsidP="00AC3A8B">
            <w:pPr>
              <w:pStyle w:val="Heading2"/>
              <w:outlineLvl w:val="1"/>
              <w:rPr>
                <w:sz w:val="24"/>
                <w:szCs w:val="24"/>
              </w:rPr>
            </w:pPr>
            <w:r>
              <w:rPr>
                <w:sz w:val="24"/>
                <w:szCs w:val="24"/>
              </w:rPr>
              <w:t>2012</w:t>
            </w:r>
          </w:p>
        </w:tc>
        <w:tc>
          <w:tcPr>
            <w:tcW w:w="2372" w:type="dxa"/>
          </w:tcPr>
          <w:p w:rsidR="00D31598" w:rsidRPr="00D31598" w:rsidRDefault="00D31598" w:rsidP="00AC3A8B">
            <w:pPr>
              <w:pStyle w:val="Heading2"/>
              <w:outlineLvl w:val="1"/>
              <w:rPr>
                <w:sz w:val="24"/>
                <w:szCs w:val="24"/>
              </w:rPr>
            </w:pPr>
            <w:r>
              <w:rPr>
                <w:sz w:val="24"/>
                <w:szCs w:val="24"/>
              </w:rPr>
              <w:t>$34,329.25</w:t>
            </w:r>
          </w:p>
        </w:tc>
        <w:tc>
          <w:tcPr>
            <w:tcW w:w="1915" w:type="dxa"/>
          </w:tcPr>
          <w:p w:rsidR="00D31598" w:rsidRPr="00D31598" w:rsidRDefault="00D31598" w:rsidP="00AC3A8B">
            <w:pPr>
              <w:pStyle w:val="Heading2"/>
              <w:outlineLvl w:val="1"/>
              <w:rPr>
                <w:sz w:val="24"/>
                <w:szCs w:val="24"/>
              </w:rPr>
            </w:pPr>
            <w:r>
              <w:rPr>
                <w:sz w:val="24"/>
                <w:szCs w:val="24"/>
              </w:rPr>
              <w:t>31</w:t>
            </w:r>
          </w:p>
        </w:tc>
        <w:tc>
          <w:tcPr>
            <w:tcW w:w="3633" w:type="dxa"/>
          </w:tcPr>
          <w:p w:rsidR="00D31598" w:rsidRPr="00D31598" w:rsidRDefault="00D31598" w:rsidP="00AC3A8B">
            <w:pPr>
              <w:pStyle w:val="Heading2"/>
              <w:outlineLvl w:val="1"/>
              <w:rPr>
                <w:sz w:val="24"/>
                <w:szCs w:val="24"/>
              </w:rPr>
            </w:pPr>
            <w:r>
              <w:rPr>
                <w:sz w:val="24"/>
                <w:szCs w:val="24"/>
              </w:rPr>
              <w:t>$1,662.12</w:t>
            </w:r>
          </w:p>
        </w:tc>
      </w:tr>
      <w:tr w:rsidR="00D31598" w:rsidTr="00D31598">
        <w:tc>
          <w:tcPr>
            <w:tcW w:w="1458" w:type="dxa"/>
          </w:tcPr>
          <w:p w:rsidR="00D31598" w:rsidRPr="00D31598" w:rsidRDefault="00D31598" w:rsidP="00AC3A8B">
            <w:pPr>
              <w:pStyle w:val="Heading2"/>
              <w:outlineLvl w:val="1"/>
              <w:rPr>
                <w:sz w:val="24"/>
                <w:szCs w:val="24"/>
              </w:rPr>
            </w:pPr>
            <w:r>
              <w:rPr>
                <w:sz w:val="24"/>
                <w:szCs w:val="24"/>
              </w:rPr>
              <w:t>2011</w:t>
            </w:r>
          </w:p>
        </w:tc>
        <w:tc>
          <w:tcPr>
            <w:tcW w:w="2372" w:type="dxa"/>
          </w:tcPr>
          <w:p w:rsidR="00D31598" w:rsidRPr="00D31598" w:rsidRDefault="00D31598" w:rsidP="00AC3A8B">
            <w:pPr>
              <w:pStyle w:val="Heading2"/>
              <w:outlineLvl w:val="1"/>
              <w:rPr>
                <w:sz w:val="24"/>
                <w:szCs w:val="24"/>
              </w:rPr>
            </w:pPr>
            <w:r>
              <w:rPr>
                <w:sz w:val="24"/>
                <w:szCs w:val="24"/>
              </w:rPr>
              <w:t>$29,950.20</w:t>
            </w:r>
          </w:p>
        </w:tc>
        <w:tc>
          <w:tcPr>
            <w:tcW w:w="1915" w:type="dxa"/>
          </w:tcPr>
          <w:p w:rsidR="00D31598" w:rsidRPr="00D31598" w:rsidRDefault="00D31598" w:rsidP="00AC3A8B">
            <w:pPr>
              <w:pStyle w:val="Heading2"/>
              <w:outlineLvl w:val="1"/>
              <w:rPr>
                <w:sz w:val="24"/>
                <w:szCs w:val="24"/>
              </w:rPr>
            </w:pPr>
            <w:r>
              <w:rPr>
                <w:sz w:val="24"/>
                <w:szCs w:val="24"/>
              </w:rPr>
              <w:t>27</w:t>
            </w:r>
          </w:p>
        </w:tc>
        <w:tc>
          <w:tcPr>
            <w:tcW w:w="3633" w:type="dxa"/>
          </w:tcPr>
          <w:p w:rsidR="00D31598" w:rsidRPr="00D31598" w:rsidRDefault="00D31598" w:rsidP="00AC3A8B">
            <w:pPr>
              <w:pStyle w:val="Heading2"/>
              <w:outlineLvl w:val="1"/>
              <w:rPr>
                <w:sz w:val="24"/>
                <w:szCs w:val="24"/>
              </w:rPr>
            </w:pPr>
            <w:r>
              <w:rPr>
                <w:sz w:val="24"/>
                <w:szCs w:val="24"/>
              </w:rPr>
              <w:t>$596.00</w:t>
            </w:r>
          </w:p>
        </w:tc>
      </w:tr>
      <w:tr w:rsidR="00D31598" w:rsidTr="00D31598">
        <w:tc>
          <w:tcPr>
            <w:tcW w:w="1458" w:type="dxa"/>
          </w:tcPr>
          <w:p w:rsidR="00D31598" w:rsidRPr="00D31598" w:rsidRDefault="00D31598" w:rsidP="00AC3A8B">
            <w:pPr>
              <w:pStyle w:val="Heading2"/>
              <w:outlineLvl w:val="1"/>
              <w:rPr>
                <w:sz w:val="24"/>
                <w:szCs w:val="24"/>
              </w:rPr>
            </w:pPr>
            <w:r>
              <w:rPr>
                <w:sz w:val="24"/>
                <w:szCs w:val="24"/>
              </w:rPr>
              <w:t>2010</w:t>
            </w:r>
          </w:p>
        </w:tc>
        <w:tc>
          <w:tcPr>
            <w:tcW w:w="2372" w:type="dxa"/>
          </w:tcPr>
          <w:p w:rsidR="00D31598" w:rsidRPr="00D31598" w:rsidRDefault="00D31598" w:rsidP="00AC3A8B">
            <w:pPr>
              <w:pStyle w:val="Heading2"/>
              <w:outlineLvl w:val="1"/>
              <w:rPr>
                <w:sz w:val="24"/>
                <w:szCs w:val="24"/>
              </w:rPr>
            </w:pPr>
            <w:r>
              <w:rPr>
                <w:sz w:val="24"/>
                <w:szCs w:val="24"/>
              </w:rPr>
              <w:t>$34,388.96</w:t>
            </w:r>
          </w:p>
        </w:tc>
        <w:tc>
          <w:tcPr>
            <w:tcW w:w="1915" w:type="dxa"/>
          </w:tcPr>
          <w:p w:rsidR="00D31598" w:rsidRPr="00D31598" w:rsidRDefault="00D31598" w:rsidP="00AC3A8B">
            <w:pPr>
              <w:pStyle w:val="Heading2"/>
              <w:outlineLvl w:val="1"/>
              <w:rPr>
                <w:sz w:val="24"/>
                <w:szCs w:val="24"/>
              </w:rPr>
            </w:pPr>
            <w:r>
              <w:rPr>
                <w:sz w:val="24"/>
                <w:szCs w:val="24"/>
              </w:rPr>
              <w:t>23</w:t>
            </w:r>
          </w:p>
        </w:tc>
        <w:tc>
          <w:tcPr>
            <w:tcW w:w="3633" w:type="dxa"/>
          </w:tcPr>
          <w:p w:rsidR="00D31598" w:rsidRPr="00D31598" w:rsidRDefault="00D31598" w:rsidP="00AC3A8B">
            <w:pPr>
              <w:pStyle w:val="Heading2"/>
              <w:outlineLvl w:val="1"/>
              <w:rPr>
                <w:sz w:val="24"/>
                <w:szCs w:val="24"/>
              </w:rPr>
            </w:pPr>
            <w:r>
              <w:rPr>
                <w:sz w:val="24"/>
                <w:szCs w:val="24"/>
              </w:rPr>
              <w:t>$1,491.82</w:t>
            </w:r>
          </w:p>
        </w:tc>
      </w:tr>
    </w:tbl>
    <w:p w:rsidR="001B0489" w:rsidRDefault="001B0489" w:rsidP="00AC3A8B">
      <w:pPr>
        <w:pStyle w:val="Heading2"/>
      </w:pPr>
    </w:p>
    <w:p w:rsidR="00AC3A8B" w:rsidRPr="00B0378D" w:rsidRDefault="00AC3A8B" w:rsidP="00AC3A8B">
      <w:pPr>
        <w:pStyle w:val="Heading2"/>
        <w:rPr>
          <w:b/>
        </w:rPr>
      </w:pPr>
      <w:r w:rsidRPr="00B0378D">
        <w:t>Financial / Staffing / Legal / Information Technology Considerations</w:t>
      </w:r>
    </w:p>
    <w:p w:rsidR="00AC3A8B" w:rsidRPr="00B0378D" w:rsidRDefault="00EF5B13" w:rsidP="00AC3A8B">
      <w:r>
        <w:t>The recommended write off amount of $</w:t>
      </w:r>
      <w:r w:rsidR="005E100E">
        <w:t>16,224.70</w:t>
      </w:r>
      <w:r>
        <w:t xml:space="preserve"> is </w:t>
      </w:r>
      <w:r w:rsidR="005E100E">
        <w:t>below</w:t>
      </w:r>
      <w:r>
        <w:t xml:space="preserve"> the $40,000 budget</w:t>
      </w:r>
      <w:r w:rsidR="001B0489">
        <w:t>ed amount</w:t>
      </w:r>
      <w:r w:rsidR="005E100E">
        <w:t xml:space="preserve"> and the savings will assist with the anticipated housing operating budget shortfall.</w:t>
      </w:r>
    </w:p>
    <w:p w:rsidR="00AC3A8B" w:rsidRPr="00580AAD" w:rsidRDefault="00AC3A8B" w:rsidP="00AC3A8B">
      <w:pPr>
        <w:pStyle w:val="Heading2"/>
      </w:pPr>
      <w:r w:rsidRPr="00580AAD">
        <w:t>Link to Strategic Goals / Priorities</w:t>
      </w:r>
    </w:p>
    <w:p w:rsidR="00AC3A8B" w:rsidRDefault="00EF5B13" w:rsidP="00AC3A8B">
      <w:r>
        <w:t>To ensure that Council’s goals of financial sustainability and public accountability are maintained.</w:t>
      </w:r>
    </w:p>
    <w:p w:rsidR="00CF4AA5" w:rsidRDefault="00CF4AA5" w:rsidP="00CF4AA5">
      <w:pPr>
        <w:pStyle w:val="Heading2"/>
      </w:pPr>
      <w:r>
        <w:t xml:space="preserve">Attachments </w:t>
      </w:r>
      <w:r w:rsidR="00EF5B13">
        <w:t>(none)</w:t>
      </w:r>
    </w:p>
    <w:p w:rsidR="00AC3A8B" w:rsidRPr="00B0378D" w:rsidRDefault="00AC3A8B" w:rsidP="00AC3A8B">
      <w:r w:rsidRPr="00B0378D">
        <w:t>Respectfully submitted by,</w:t>
      </w:r>
    </w:p>
    <w:p w:rsidR="00AC3A8B" w:rsidRPr="00B0378D" w:rsidRDefault="00EF5B13" w:rsidP="00AC3A8B">
      <w:r>
        <w:t>Mary Lou Spicer</w:t>
      </w:r>
      <w:r>
        <w:br/>
        <w:t>Deputy Director of Finance</w:t>
      </w:r>
    </w:p>
    <w:p w:rsidR="00953DFC" w:rsidRDefault="00AC3A8B" w:rsidP="00AB2197">
      <w:pPr>
        <w:sectPr w:rsidR="00953DFC" w:rsidSect="00A52D13">
          <w:footerReference w:type="default" r:id="rId9"/>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EF5B13" w:rsidRPr="00592751">
        <w:rPr>
          <w:rFonts w:ascii="Monotype Corsiva" w:hAnsi="Monotype Corsiva"/>
          <w:sz w:val="28"/>
          <w:szCs w:val="28"/>
        </w:rPr>
        <w:t>Kevin Weppler, Director of Finance; Anne Marie Shaw, Director of Housing</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BE" w:rsidRDefault="00FB7EBE" w:rsidP="00883D8D">
      <w:pPr>
        <w:spacing w:after="0" w:line="240" w:lineRule="auto"/>
      </w:pPr>
      <w:r>
        <w:separator/>
      </w:r>
    </w:p>
  </w:endnote>
  <w:endnote w:type="continuationSeparator" w:id="0">
    <w:p w:rsidR="00FB7EBE" w:rsidRDefault="00FB7EB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EF5B13" w:rsidP="00AC3A8B">
    <w:pPr>
      <w:pStyle w:val="Footer"/>
      <w:rPr>
        <w:sz w:val="22"/>
        <w:szCs w:val="22"/>
      </w:rPr>
    </w:pPr>
    <w:r>
      <w:rPr>
        <w:sz w:val="22"/>
        <w:szCs w:val="22"/>
      </w:rPr>
      <w:t>FR</w:t>
    </w:r>
    <w:r w:rsidR="00AC3A8B" w:rsidRPr="00FB686F">
      <w:rPr>
        <w:sz w:val="22"/>
        <w:szCs w:val="22"/>
      </w:rPr>
      <w:t>-</w:t>
    </w:r>
    <w:r>
      <w:rPr>
        <w:sz w:val="22"/>
        <w:szCs w:val="22"/>
      </w:rPr>
      <w:t>SS</w:t>
    </w:r>
    <w:r w:rsidR="00AC3A8B" w:rsidRPr="00FB686F">
      <w:rPr>
        <w:sz w:val="22"/>
        <w:szCs w:val="22"/>
      </w:rPr>
      <w:t>-</w:t>
    </w:r>
    <w:r>
      <w:rPr>
        <w:sz w:val="22"/>
        <w:szCs w:val="22"/>
      </w:rPr>
      <w:t>0</w:t>
    </w:r>
    <w:r w:rsidR="006F4FDE">
      <w:rPr>
        <w:sz w:val="22"/>
        <w:szCs w:val="22"/>
      </w:rPr>
      <w:t>6</w:t>
    </w:r>
    <w:r w:rsidR="00AC3A8B" w:rsidRPr="00FB686F">
      <w:rPr>
        <w:sz w:val="22"/>
        <w:szCs w:val="22"/>
      </w:rPr>
      <w:t>-</w:t>
    </w:r>
    <w:r>
      <w:rPr>
        <w:sz w:val="22"/>
        <w:szCs w:val="22"/>
      </w:rPr>
      <w:t>1</w:t>
    </w:r>
    <w:r w:rsidR="006F4FDE">
      <w:rPr>
        <w:sz w:val="22"/>
        <w:szCs w:val="22"/>
      </w:rPr>
      <w:t>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522C2F">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 xml:space="preserve">December </w:t>
    </w:r>
    <w:r w:rsidR="006F4FDE">
      <w:rPr>
        <w:sz w:val="22"/>
        <w:szCs w:val="22"/>
      </w:rPr>
      <w:t>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BE" w:rsidRDefault="00FB7EBE" w:rsidP="00883D8D">
      <w:pPr>
        <w:spacing w:after="0" w:line="240" w:lineRule="auto"/>
      </w:pPr>
      <w:r>
        <w:separator/>
      </w:r>
    </w:p>
  </w:footnote>
  <w:footnote w:type="continuationSeparator" w:id="0">
    <w:p w:rsidR="00FB7EBE" w:rsidRDefault="00FB7EBE"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94DC0"/>
    <w:rsid w:val="00094EFC"/>
    <w:rsid w:val="000B4BD6"/>
    <w:rsid w:val="000B7C11"/>
    <w:rsid w:val="00113FCB"/>
    <w:rsid w:val="001B0489"/>
    <w:rsid w:val="001F1D7C"/>
    <w:rsid w:val="001F31ED"/>
    <w:rsid w:val="00247CA8"/>
    <w:rsid w:val="002915BC"/>
    <w:rsid w:val="002C0B02"/>
    <w:rsid w:val="002C6064"/>
    <w:rsid w:val="003062A4"/>
    <w:rsid w:val="003B3785"/>
    <w:rsid w:val="0043532E"/>
    <w:rsid w:val="00446A72"/>
    <w:rsid w:val="00457F2B"/>
    <w:rsid w:val="00464176"/>
    <w:rsid w:val="004942B7"/>
    <w:rsid w:val="004F083D"/>
    <w:rsid w:val="00522C2F"/>
    <w:rsid w:val="005723F2"/>
    <w:rsid w:val="00592751"/>
    <w:rsid w:val="005934B1"/>
    <w:rsid w:val="005A360A"/>
    <w:rsid w:val="005E0A76"/>
    <w:rsid w:val="005E100E"/>
    <w:rsid w:val="00644370"/>
    <w:rsid w:val="006563A9"/>
    <w:rsid w:val="006B4C34"/>
    <w:rsid w:val="006D461B"/>
    <w:rsid w:val="006F4FDE"/>
    <w:rsid w:val="00816DA7"/>
    <w:rsid w:val="00883D8D"/>
    <w:rsid w:val="00895616"/>
    <w:rsid w:val="00953DFC"/>
    <w:rsid w:val="009E3F07"/>
    <w:rsid w:val="00A52D13"/>
    <w:rsid w:val="00A607A3"/>
    <w:rsid w:val="00A63DD6"/>
    <w:rsid w:val="00A85D36"/>
    <w:rsid w:val="00AA5E09"/>
    <w:rsid w:val="00AB2197"/>
    <w:rsid w:val="00AC3A8B"/>
    <w:rsid w:val="00B12CC6"/>
    <w:rsid w:val="00B64986"/>
    <w:rsid w:val="00B73155"/>
    <w:rsid w:val="00BC0B30"/>
    <w:rsid w:val="00CE439D"/>
    <w:rsid w:val="00CF4AA5"/>
    <w:rsid w:val="00D31598"/>
    <w:rsid w:val="00DA3282"/>
    <w:rsid w:val="00DC1FF0"/>
    <w:rsid w:val="00E32F4D"/>
    <w:rsid w:val="00E67F84"/>
    <w:rsid w:val="00EF5B13"/>
    <w:rsid w:val="00F16576"/>
    <w:rsid w:val="00F257E0"/>
    <w:rsid w:val="00F776DA"/>
    <w:rsid w:val="00FB7EB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D3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D3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2015-11-27T15:17:00+00:00</sentdate>
    <Superseded xmlns="e6cd7bd4-3f3e-4495-b8c9-139289cd76e6">false</Superseded>
    <Year xmlns="e6cd7bd4-3f3e-4495-b8c9-139289cd76e6" xsi:nil="true"/>
    <originator xmlns="e6cd7bd4-3f3e-4495-b8c9-139289cd76e6">spicerm</originator>
    <policyNumber xmlns="e6cd7bd4-3f3e-4495-b8c9-139289cd76e6" xsi:nil="true"/>
    <documentNumber xmlns="e6cd7bd4-3f3e-4495-b8c9-139289cd76e6">GC_100136603</documentNumber>
    <Municipality xmlns="e6cd7bd4-3f3e-4495-b8c9-139289cd76e6" xsi:nil="true"/>
    <gcNumber xmlns="e6cd7bd4-3f3e-4495-b8c9-139289cd76e6">GC_259676</gcNumber>
    <recordCategory xmlns="e6cd7bd4-3f3e-4495-b8c9-139289cd76e6">C11</recordCategory>
    <isPublic xmlns="e6cd7bd4-3f3e-4495-b8c9-139289cd76e6">true</isPublic>
    <sharedId xmlns="e6cd7bd4-3f3e-4495-b8c9-139289cd76e6">06ngODLWSbeocftV3DDI6g</sharedId>
    <committee xmlns="e6cd7bd4-3f3e-4495-b8c9-139289cd76e6">Social Services</committee>
    <meetingId xmlns="e6cd7bd4-3f3e-4495-b8c9-139289cd76e6">[2015-12-09 Social Services [1258]]</meetingId>
    <capitalProjectPriority xmlns="e6cd7bd4-3f3e-4495-b8c9-139289cd76e6" xsi:nil="true"/>
    <policyApprovalDate xmlns="e6cd7bd4-3f3e-4495-b8c9-139289cd76e6" xsi:nil="true"/>
    <NodeRef xmlns="e6cd7bd4-3f3e-4495-b8c9-139289cd76e6">eac11cb1-c364-4627-a071-ba2f8d936a6f</NodeRef>
    <addressees xmlns="e6cd7bd4-3f3e-4495-b8c9-139289cd76e6" xsi:nil="true"/>
    <identifier xmlns="e6cd7bd4-3f3e-4495-b8c9-139289cd76e6">2016-1467032069897</identifier>
    <reviewAsOf xmlns="e6cd7bd4-3f3e-4495-b8c9-139289cd76e6">2026-11-09T15:10:37+00:00</reviewAsOf>
    <bylawNumber xmlns="e6cd7bd4-3f3e-4495-b8c9-139289cd76e6" xsi:nil="true"/>
    <addressee xmlns="e6cd7bd4-3f3e-4495-b8c9-139289cd76e6" xsi:nil="true"/>
    <recordOriginatingLocation xmlns="e6cd7bd4-3f3e-4495-b8c9-139289cd76e6">workspace://SpacesStore/2e20f3b3-fb21-40fd-9d7e-8366990f5ed0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6E6963F-336F-4460-8364-EDE84E4AE21F}">
  <ds:schemaRefs>
    <ds:schemaRef ds:uri="http://schemas.openxmlformats.org/officeDocument/2006/bibliography"/>
  </ds:schemaRefs>
</ds:datastoreItem>
</file>

<file path=customXml/itemProps2.xml><?xml version="1.0" encoding="utf-8"?>
<ds:datastoreItem xmlns:ds="http://schemas.openxmlformats.org/officeDocument/2006/customXml" ds:itemID="{4523E5AB-E4EE-43F4-8C20-E7D02EFAE87B}"/>
</file>

<file path=customXml/itemProps3.xml><?xml version="1.0" encoding="utf-8"?>
<ds:datastoreItem xmlns:ds="http://schemas.openxmlformats.org/officeDocument/2006/customXml" ds:itemID="{0524EEAC-E6E0-41E3-86A2-B35EB1D2C19D}"/>
</file>

<file path=customXml/itemProps4.xml><?xml version="1.0" encoding="utf-8"?>
<ds:datastoreItem xmlns:ds="http://schemas.openxmlformats.org/officeDocument/2006/customXml" ds:itemID="{3D1263DD-6863-4825-84D5-589C37CECDC0}"/>
</file>

<file path=customXml/itemProps5.xml><?xml version="1.0" encoding="utf-8"?>
<ds:datastoreItem xmlns:ds="http://schemas.openxmlformats.org/officeDocument/2006/customXml" ds:itemID="{54149EEB-F1B1-4C28-BE8C-31E4899CD4AF}"/>
</file>

<file path=docProps/app.xml><?xml version="1.0" encoding="utf-8"?>
<Properties xmlns="http://schemas.openxmlformats.org/officeDocument/2006/extended-properties" xmlns:vt="http://schemas.openxmlformats.org/officeDocument/2006/docPropsVTypes">
  <Template>Normal</Template>
  <TotalTime>90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2015-11-25T22:25:00Z</cp:lastPrinted>
  <dcterms:created xsi:type="dcterms:W3CDTF">2015-11-25T22:25:00Z</dcterms:created>
  <dcterms:modified xsi:type="dcterms:W3CDTF">2016-01-27T19:34:00Z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