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FC3ADC" w:rsidP="00FB686F">
      <w:pPr>
        <w:pStyle w:val="Title"/>
        <w:sectPr w:rsidR="003C4A45" w:rsidRPr="00C2345E" w:rsidSect="0095757A">
          <w:footerReference w:type="default" r:id="rId8"/>
          <w:pgSz w:w="12240" w:h="15840"/>
          <w:pgMar w:top="864" w:right="1440" w:bottom="1440" w:left="1440" w:header="706" w:footer="706" w:gutter="0"/>
          <w:cols w:space="720"/>
          <w:docGrid w:linePitch="360"/>
        </w:sectPr>
      </w:pPr>
      <w:r w:rsidRPr="00FC3ADC">
        <w:rPr>
          <w:noProof/>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C2345E">
        <w:tab/>
      </w:r>
      <w:r w:rsidR="00C2345E" w:rsidRPr="00FB686F">
        <w:t>Committee Report</w:t>
      </w:r>
    </w:p>
    <w:p w:rsidR="00075BEB" w:rsidRPr="00FB686F" w:rsidRDefault="00075BEB" w:rsidP="00FB686F">
      <w:pPr>
        <w:pStyle w:val="Heading1"/>
        <w:jc w:val="center"/>
      </w:pPr>
      <w:r w:rsidRPr="00FB686F">
        <w:lastRenderedPageBreak/>
        <w:t xml:space="preserve">Report </w:t>
      </w:r>
      <w:r w:rsidR="00191D48">
        <w:t>HDR-SS-05-15</w:t>
      </w:r>
    </w:p>
    <w:p w:rsidR="00075BEB" w:rsidRPr="00FB686F" w:rsidRDefault="00075BEB" w:rsidP="00D95BDB">
      <w:pPr>
        <w:pStyle w:val="NoSpacing"/>
        <w:rPr>
          <w:rStyle w:val="Strong"/>
          <w:b w:val="0"/>
          <w:bCs w:val="0"/>
        </w:rPr>
      </w:pPr>
      <w:r w:rsidRPr="00FB686F">
        <w:rPr>
          <w:rStyle w:val="Strong"/>
          <w:bCs w:val="0"/>
        </w:rPr>
        <w:t>To</w:t>
      </w:r>
      <w:r w:rsidRPr="00FB686F">
        <w:t xml:space="preserve">: </w:t>
      </w:r>
      <w:r w:rsidR="00476870">
        <w:tab/>
        <w:t>Chair</w:t>
      </w:r>
      <w:r w:rsidR="00AA5E0E">
        <w:t xml:space="preserve"> Burley and Members of the Social Services Committee</w:t>
      </w:r>
      <w:r w:rsidRPr="00FB686F">
        <w:tab/>
      </w:r>
    </w:p>
    <w:p w:rsidR="00075BEB" w:rsidRPr="00FB686F" w:rsidRDefault="00075BEB" w:rsidP="00D95BDB">
      <w:pPr>
        <w:pStyle w:val="NoSpacing"/>
        <w:rPr>
          <w:rStyle w:val="Strong"/>
          <w:b w:val="0"/>
          <w:bCs w:val="0"/>
        </w:rPr>
      </w:pPr>
      <w:r w:rsidRPr="00FB686F">
        <w:rPr>
          <w:rStyle w:val="Strong"/>
          <w:bCs w:val="0"/>
        </w:rPr>
        <w:t>From</w:t>
      </w:r>
      <w:r w:rsidR="00807805" w:rsidRPr="00FB686F">
        <w:t>:</w:t>
      </w:r>
      <w:r w:rsidR="00807805" w:rsidRPr="00FB686F">
        <w:tab/>
      </w:r>
      <w:r w:rsidR="00AA5E0E">
        <w:t>Anne Mari</w:t>
      </w:r>
      <w:r w:rsidR="00191D48">
        <w:t>e Shaw, Housing Director</w:t>
      </w:r>
    </w:p>
    <w:p w:rsidR="00075BEB" w:rsidRPr="00FB686F" w:rsidRDefault="00075BEB" w:rsidP="00D95BDB">
      <w:pPr>
        <w:pStyle w:val="NoSpacing"/>
        <w:rPr>
          <w:rStyle w:val="Strong"/>
          <w:b w:val="0"/>
          <w:bCs w:val="0"/>
        </w:rPr>
      </w:pPr>
      <w:r w:rsidRPr="00FB686F">
        <w:rPr>
          <w:rStyle w:val="Strong"/>
          <w:bCs w:val="0"/>
        </w:rPr>
        <w:t>Meeting Date</w:t>
      </w:r>
      <w:r w:rsidRPr="00FB686F">
        <w:rPr>
          <w:rStyle w:val="Strong"/>
          <w:b w:val="0"/>
          <w:bCs w:val="0"/>
        </w:rPr>
        <w:t>:</w:t>
      </w:r>
      <w:r w:rsidRPr="00FB686F">
        <w:tab/>
      </w:r>
      <w:r w:rsidR="00191D48">
        <w:t>February 10, 2015</w:t>
      </w:r>
    </w:p>
    <w:p w:rsidR="00AA5E0E" w:rsidRPr="00FB686F" w:rsidRDefault="00075BEB" w:rsidP="00AA5E0E">
      <w:pPr>
        <w:pStyle w:val="NoSpacing"/>
        <w:rPr>
          <w:rStyle w:val="Strong"/>
          <w:b w:val="0"/>
          <w:bCs w:val="0"/>
        </w:rPr>
      </w:pPr>
      <w:r w:rsidRPr="00FB686F">
        <w:rPr>
          <w:rStyle w:val="Strong"/>
          <w:bCs w:val="0"/>
        </w:rPr>
        <w:t>Subject</w:t>
      </w:r>
      <w:r w:rsidR="00C523D9" w:rsidRPr="00FB686F">
        <w:rPr>
          <w:rStyle w:val="Strong"/>
          <w:b w:val="0"/>
          <w:bCs w:val="0"/>
        </w:rPr>
        <w:t>:</w:t>
      </w:r>
      <w:r w:rsidR="00B0378D" w:rsidRPr="00FB686F">
        <w:rPr>
          <w:rStyle w:val="Strong"/>
          <w:b w:val="0"/>
          <w:bCs w:val="0"/>
        </w:rPr>
        <w:tab/>
      </w:r>
      <w:r w:rsidR="00191D48">
        <w:rPr>
          <w:rStyle w:val="Strong"/>
          <w:b w:val="0"/>
          <w:bCs w:val="0"/>
        </w:rPr>
        <w:t>Wait List Report 2015</w:t>
      </w:r>
    </w:p>
    <w:p w:rsidR="00C523D9" w:rsidRPr="00E26705" w:rsidRDefault="00B0378D" w:rsidP="00D95BDB">
      <w:pPr>
        <w:pStyle w:val="NoSpacing"/>
        <w:rPr>
          <w:rStyle w:val="Strong"/>
          <w:b w:val="0"/>
          <w:bCs w:val="0"/>
        </w:rPr>
      </w:pPr>
      <w:r w:rsidRPr="00FB686F">
        <w:rPr>
          <w:rStyle w:val="Strong"/>
          <w:bCs w:val="0"/>
        </w:rPr>
        <w:t>Status</w:t>
      </w:r>
      <w:r w:rsidRPr="00FB686F">
        <w:t>:</w:t>
      </w:r>
      <w:r w:rsidR="00C523D9" w:rsidRPr="00451D2E">
        <w:tab/>
      </w:r>
      <w:r w:rsidR="0034523E">
        <w:t xml:space="preserve">Recommendation adopted by Committee as presented per Resolution SSC32-15; Endorsed by County Council per Resolution CC43-15 March 3, 2015; </w:t>
      </w:r>
      <w:bookmarkStart w:id="0" w:name="_GoBack"/>
      <w:bookmarkEnd w:id="0"/>
    </w:p>
    <w:p w:rsidR="00075BEB" w:rsidRPr="00FB686F" w:rsidRDefault="00075BEB" w:rsidP="00FB686F">
      <w:pPr>
        <w:pStyle w:val="Heading2"/>
      </w:pPr>
      <w:r w:rsidRPr="00FB686F">
        <w:t>Recommendation(s)</w:t>
      </w:r>
    </w:p>
    <w:p w:rsidR="00AA5E0E" w:rsidRPr="00476870" w:rsidRDefault="00191D48" w:rsidP="00580AAD">
      <w:pPr>
        <w:rPr>
          <w:b/>
        </w:rPr>
      </w:pPr>
      <w:r>
        <w:rPr>
          <w:b/>
        </w:rPr>
        <w:t>THAT Report HDR-SS-05-15</w:t>
      </w:r>
      <w:r w:rsidR="00476870" w:rsidRPr="00476870">
        <w:rPr>
          <w:b/>
        </w:rPr>
        <w:t xml:space="preserve"> regarding th</w:t>
      </w:r>
      <w:r>
        <w:rPr>
          <w:b/>
        </w:rPr>
        <w:t>e Wait List Report for social housing</w:t>
      </w:r>
      <w:r w:rsidR="00476870" w:rsidRPr="00476870">
        <w:rPr>
          <w:b/>
        </w:rPr>
        <w:t xml:space="preserve"> </w:t>
      </w:r>
      <w:proofErr w:type="gramStart"/>
      <w:r w:rsidR="00476870" w:rsidRPr="00476870">
        <w:rPr>
          <w:b/>
        </w:rPr>
        <w:t>be</w:t>
      </w:r>
      <w:proofErr w:type="gramEnd"/>
      <w:r w:rsidR="00476870" w:rsidRPr="00476870">
        <w:rPr>
          <w:b/>
        </w:rPr>
        <w:t xml:space="preserve"> received </w:t>
      </w:r>
      <w:r w:rsidR="00B93D5B" w:rsidRPr="00476870">
        <w:rPr>
          <w:b/>
        </w:rPr>
        <w:t>for information</w:t>
      </w:r>
      <w:r w:rsidR="00476870" w:rsidRPr="00476870">
        <w:rPr>
          <w:b/>
        </w:rPr>
        <w:t>.</w:t>
      </w:r>
    </w:p>
    <w:p w:rsidR="00792A07" w:rsidRDefault="00075BEB" w:rsidP="00792A07">
      <w:pPr>
        <w:pStyle w:val="Heading2"/>
      </w:pPr>
      <w:r w:rsidRPr="00B0378D">
        <w:t>Background</w:t>
      </w:r>
    </w:p>
    <w:p w:rsidR="00356F54" w:rsidRPr="00356F54" w:rsidRDefault="00356F54" w:rsidP="00792A07">
      <w:pPr>
        <w:pStyle w:val="Heading3"/>
      </w:pPr>
      <w:r>
        <w:t>Waitlist Totals</w:t>
      </w:r>
    </w:p>
    <w:p w:rsidR="00354352" w:rsidRDefault="00354352" w:rsidP="00354352">
      <w:r>
        <w:t>Our current wait list for rent gear</w:t>
      </w:r>
      <w:r w:rsidR="00476A14">
        <w:t>ed to income housing is at 406 applicants</w:t>
      </w:r>
      <w:r w:rsidR="00FD164B">
        <w:t xml:space="preserve"> compared to 49</w:t>
      </w:r>
      <w:r w:rsidR="003C1284">
        <w:t>0 applicants at this time last year</w:t>
      </w:r>
      <w:r w:rsidR="00476A14">
        <w:t xml:space="preserve">. The list consists of </w:t>
      </w:r>
      <w:r w:rsidR="00FD164B">
        <w:t>80</w:t>
      </w:r>
      <w:r w:rsidR="00476A14">
        <w:t xml:space="preserve"> families, 227 singles and </w:t>
      </w:r>
      <w:r w:rsidR="00FD164B">
        <w:t>99</w:t>
      </w:r>
      <w:r>
        <w:t xml:space="preserve"> seniors. The wait list has decreased over the past year due to a number of factors such as the success of our </w:t>
      </w:r>
      <w:r w:rsidR="00476870">
        <w:t>Investment in</w:t>
      </w:r>
      <w:r>
        <w:t xml:space="preserve"> </w:t>
      </w:r>
      <w:r w:rsidR="00476870">
        <w:t>Affordable Housing</w:t>
      </w:r>
      <w:r w:rsidR="00476A14">
        <w:t xml:space="preserve"> (IAH) Program</w:t>
      </w:r>
      <w:r w:rsidR="00F7243F">
        <w:t xml:space="preserve"> and </w:t>
      </w:r>
      <w:r>
        <w:t>the provincial data base program f</w:t>
      </w:r>
      <w:r w:rsidR="00FD164B">
        <w:t>or rent geared to income housing</w:t>
      </w:r>
      <w:r w:rsidR="00F7243F">
        <w:t>.</w:t>
      </w:r>
      <w:r w:rsidR="003C1284">
        <w:t xml:space="preserve"> </w:t>
      </w:r>
    </w:p>
    <w:p w:rsidR="00356F54" w:rsidRDefault="00354352" w:rsidP="00354352">
      <w:r>
        <w:t xml:space="preserve">The </w:t>
      </w:r>
      <w:r w:rsidR="00476870">
        <w:t>IAH rent</w:t>
      </w:r>
      <w:r w:rsidR="00356F54">
        <w:t xml:space="preserve"> supplement </w:t>
      </w:r>
      <w:r>
        <w:t xml:space="preserve">program has allowed applicants to remain housed for up to 10 years in their current housing situation and </w:t>
      </w:r>
      <w:r w:rsidR="00356F54">
        <w:t>be removed from our housing list. Participants that have appropriate accommodations are able to stay as the subsidy provides the financial means to stay housed. Our Ontario Renovates Program provides funds to fix up homes to allow seniors, people with disabilities and those with a fixed income to remain in their homes longer. Our Homeownership program has provided a 5% down payment</w:t>
      </w:r>
      <w:r w:rsidR="00C140CD">
        <w:t xml:space="preserve"> to some of our families in Grey County and non profit</w:t>
      </w:r>
      <w:r w:rsidR="00356F54">
        <w:t xml:space="preserve"> housing to buy their own home. All three programs have had an impact on our wait list.</w:t>
      </w:r>
    </w:p>
    <w:p w:rsidR="00354352" w:rsidRDefault="00356F54" w:rsidP="00354352">
      <w:r>
        <w:t>The Provincial data base for rent geared to income housing keeps track of individuals that owe rent or damages to rent geared to income housing providers across the Province. According to the Housing Services Act, 2011, an individual is ineligible for rent geared to income housing if they owe a housing provider arrears. The arrears can be for rent or damages.</w:t>
      </w:r>
      <w:r w:rsidR="00354352">
        <w:t xml:space="preserve"> </w:t>
      </w:r>
    </w:p>
    <w:p w:rsidR="00476A14" w:rsidRDefault="00476A14" w:rsidP="00354352"/>
    <w:p w:rsidR="00356F54" w:rsidRDefault="00356F54" w:rsidP="00356F54">
      <w:pPr>
        <w:pStyle w:val="Heading3"/>
      </w:pPr>
      <w:r>
        <w:t>Waitlist by Area</w:t>
      </w:r>
    </w:p>
    <w:p w:rsidR="008415D6" w:rsidRDefault="00356F54" w:rsidP="00356F54">
      <w:r>
        <w:t xml:space="preserve">The </w:t>
      </w:r>
      <w:r w:rsidR="00C140CD">
        <w:t xml:space="preserve">following graph breaks down the number of applicants by town and by category such as families, singles and seniors. Currently, </w:t>
      </w:r>
      <w:r>
        <w:t>Owen Sound, Meaford and Hanover have the greatest lists for rent geared to income housing.</w:t>
      </w:r>
    </w:p>
    <w:p w:rsidR="008415D6" w:rsidRDefault="008415D6" w:rsidP="008415D6">
      <w:pPr>
        <w:pStyle w:val="Heading4"/>
      </w:pPr>
      <w:r>
        <w:t>Coordinated Access Housing Wait List</w:t>
      </w:r>
    </w:p>
    <w:tbl>
      <w:tblPr>
        <w:tblStyle w:val="TableGrid"/>
        <w:tblW w:w="6468" w:type="dxa"/>
        <w:jc w:val="center"/>
        <w:tblLayout w:type="fixed"/>
        <w:tblLook w:val="04A0" w:firstRow="1" w:lastRow="0" w:firstColumn="1" w:lastColumn="0" w:noHBand="0" w:noVBand="1"/>
        <w:tblDescription w:val="A chart regarding Coordinated Access Community Waiting List. Please contact Grey County Housing for more information at 519-376-5744."/>
      </w:tblPr>
      <w:tblGrid>
        <w:gridCol w:w="1696"/>
        <w:gridCol w:w="1193"/>
        <w:gridCol w:w="1193"/>
        <w:gridCol w:w="1193"/>
        <w:gridCol w:w="1193"/>
      </w:tblGrid>
      <w:tr w:rsidR="008415D6" w:rsidRPr="008415D6" w:rsidTr="008415D6">
        <w:trPr>
          <w:trHeight w:val="312"/>
          <w:tblHeader/>
          <w:jc w:val="center"/>
        </w:trPr>
        <w:tc>
          <w:tcPr>
            <w:tcW w:w="1696" w:type="dxa"/>
            <w:shd w:val="clear" w:color="auto" w:fill="98005D"/>
            <w:noWrap/>
            <w:hideMark/>
          </w:tcPr>
          <w:p w:rsidR="008415D6" w:rsidRPr="00476A14" w:rsidRDefault="008415D6" w:rsidP="008415D6">
            <w:pPr>
              <w:spacing w:before="60" w:after="60"/>
              <w:rPr>
                <w:rFonts w:eastAsia="Times New Roman" w:cs="Arial"/>
                <w:b/>
                <w:bCs/>
                <w:lang w:val="en-CA" w:eastAsia="en-CA"/>
              </w:rPr>
            </w:pPr>
            <w:r w:rsidRPr="00476A14">
              <w:rPr>
                <w:rFonts w:eastAsia="Times New Roman" w:cs="Arial"/>
                <w:b/>
                <w:bCs/>
                <w:lang w:val="en-CA" w:eastAsia="en-CA"/>
              </w:rPr>
              <w:t>C</w:t>
            </w:r>
            <w:r w:rsidRPr="008415D6">
              <w:rPr>
                <w:rFonts w:eastAsia="Times New Roman" w:cs="Arial"/>
                <w:b/>
                <w:bCs/>
                <w:lang w:val="en-CA" w:eastAsia="en-CA"/>
              </w:rPr>
              <w:t>ommunity</w:t>
            </w:r>
          </w:p>
        </w:tc>
        <w:tc>
          <w:tcPr>
            <w:tcW w:w="1193" w:type="dxa"/>
            <w:shd w:val="clear" w:color="auto" w:fill="98005D"/>
            <w:noWrap/>
            <w:hideMark/>
          </w:tcPr>
          <w:p w:rsidR="008415D6" w:rsidRPr="00476A14" w:rsidRDefault="008415D6" w:rsidP="008415D6">
            <w:pPr>
              <w:spacing w:before="60" w:after="60"/>
              <w:jc w:val="center"/>
              <w:rPr>
                <w:rFonts w:eastAsia="Times New Roman" w:cs="Arial"/>
                <w:b/>
                <w:bCs/>
                <w:iCs/>
                <w:lang w:val="en-CA" w:eastAsia="en-CA"/>
              </w:rPr>
            </w:pPr>
            <w:r w:rsidRPr="008415D6">
              <w:rPr>
                <w:rFonts w:eastAsia="Times New Roman" w:cs="Arial"/>
                <w:b/>
                <w:bCs/>
                <w:iCs/>
                <w:lang w:val="en-CA" w:eastAsia="en-CA"/>
              </w:rPr>
              <w:t>Family</w:t>
            </w:r>
          </w:p>
        </w:tc>
        <w:tc>
          <w:tcPr>
            <w:tcW w:w="1193" w:type="dxa"/>
            <w:shd w:val="clear" w:color="auto" w:fill="98005D"/>
            <w:noWrap/>
            <w:hideMark/>
          </w:tcPr>
          <w:p w:rsidR="008415D6" w:rsidRPr="00476A14" w:rsidRDefault="008415D6" w:rsidP="008415D6">
            <w:pPr>
              <w:spacing w:before="60" w:after="60"/>
              <w:jc w:val="center"/>
              <w:rPr>
                <w:rFonts w:eastAsia="Times New Roman" w:cs="Arial"/>
                <w:b/>
                <w:bCs/>
                <w:iCs/>
                <w:lang w:val="en-CA" w:eastAsia="en-CA"/>
              </w:rPr>
            </w:pPr>
            <w:r w:rsidRPr="008415D6">
              <w:rPr>
                <w:rFonts w:eastAsia="Times New Roman" w:cs="Arial"/>
                <w:b/>
                <w:bCs/>
                <w:iCs/>
                <w:lang w:val="en-CA" w:eastAsia="en-CA"/>
              </w:rPr>
              <w:t>Single</w:t>
            </w:r>
          </w:p>
        </w:tc>
        <w:tc>
          <w:tcPr>
            <w:tcW w:w="1193" w:type="dxa"/>
            <w:shd w:val="clear" w:color="auto" w:fill="98005D"/>
            <w:noWrap/>
            <w:hideMark/>
          </w:tcPr>
          <w:p w:rsidR="008415D6" w:rsidRPr="00476A14" w:rsidRDefault="008415D6" w:rsidP="008415D6">
            <w:pPr>
              <w:spacing w:before="60" w:after="60"/>
              <w:jc w:val="center"/>
              <w:rPr>
                <w:rFonts w:eastAsia="Times New Roman" w:cs="Arial"/>
                <w:b/>
                <w:bCs/>
                <w:iCs/>
                <w:lang w:val="en-CA" w:eastAsia="en-CA"/>
              </w:rPr>
            </w:pPr>
            <w:r w:rsidRPr="008415D6">
              <w:rPr>
                <w:rFonts w:eastAsia="Times New Roman" w:cs="Arial"/>
                <w:b/>
                <w:bCs/>
                <w:iCs/>
                <w:lang w:val="en-CA" w:eastAsia="en-CA"/>
              </w:rPr>
              <w:t>Senior</w:t>
            </w:r>
          </w:p>
        </w:tc>
        <w:tc>
          <w:tcPr>
            <w:tcW w:w="1193" w:type="dxa"/>
            <w:shd w:val="clear" w:color="auto" w:fill="98005D"/>
            <w:noWrap/>
            <w:hideMark/>
          </w:tcPr>
          <w:p w:rsidR="008415D6" w:rsidRPr="00476A14" w:rsidRDefault="008415D6" w:rsidP="008415D6">
            <w:pPr>
              <w:spacing w:before="60" w:after="60"/>
              <w:jc w:val="center"/>
              <w:rPr>
                <w:rFonts w:eastAsia="Times New Roman" w:cs="Arial"/>
                <w:b/>
                <w:bCs/>
                <w:iCs/>
                <w:lang w:val="en-CA" w:eastAsia="en-CA"/>
              </w:rPr>
            </w:pPr>
            <w:r w:rsidRPr="008415D6">
              <w:rPr>
                <w:rFonts w:eastAsia="Times New Roman" w:cs="Arial"/>
                <w:b/>
                <w:bCs/>
                <w:iCs/>
                <w:lang w:val="en-CA" w:eastAsia="en-CA"/>
              </w:rPr>
              <w:t>Total</w:t>
            </w:r>
          </w:p>
        </w:tc>
      </w:tr>
      <w:tr w:rsidR="008415D6" w:rsidRPr="008415D6" w:rsidTr="008415D6">
        <w:trPr>
          <w:trHeight w:val="312"/>
          <w:jc w:val="center"/>
        </w:trPr>
        <w:tc>
          <w:tcPr>
            <w:tcW w:w="1696" w:type="dxa"/>
            <w:shd w:val="clear" w:color="auto" w:fill="F2F2F2" w:themeFill="background1" w:themeFillShade="F2"/>
            <w:noWrap/>
            <w:vAlign w:val="center"/>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Chatsworth</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5</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3</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8</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Dundalk</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3</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3</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6</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Durham</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7</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16</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6</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29</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Holstein</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2</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2</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Flesherton</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4</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3</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7</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Hanover</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12</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50</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23</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85</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Markdale</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8</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7</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15</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Meaford</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7</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23</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13</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43</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Neustadt</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2</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2</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Owen Sound</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68</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155</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55</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278</w:t>
            </w:r>
          </w:p>
        </w:tc>
      </w:tr>
      <w:tr w:rsidR="008415D6" w:rsidRPr="008415D6" w:rsidTr="008415D6">
        <w:trPr>
          <w:trHeight w:val="312"/>
          <w:jc w:val="center"/>
        </w:trPr>
        <w:tc>
          <w:tcPr>
            <w:tcW w:w="1696" w:type="dxa"/>
            <w:shd w:val="clear" w:color="auto" w:fill="F2F2F2" w:themeFill="background1" w:themeFillShade="F2"/>
            <w:noWrap/>
            <w:vAlign w:val="center"/>
            <w:hideMark/>
          </w:tcPr>
          <w:p w:rsidR="008415D6" w:rsidRPr="00476A14" w:rsidRDefault="008415D6" w:rsidP="008415D6">
            <w:pPr>
              <w:rPr>
                <w:rFonts w:eastAsia="Times New Roman" w:cs="Arial"/>
                <w:b/>
                <w:bCs/>
                <w:iCs/>
                <w:lang w:val="en-CA" w:eastAsia="en-CA"/>
              </w:rPr>
            </w:pPr>
            <w:r w:rsidRPr="00476A14">
              <w:rPr>
                <w:rFonts w:eastAsia="Times New Roman" w:cs="Arial"/>
                <w:b/>
                <w:bCs/>
                <w:iCs/>
                <w:lang w:val="en-CA" w:eastAsia="en-CA"/>
              </w:rPr>
              <w:t>Thornbury</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11</w:t>
            </w:r>
          </w:p>
        </w:tc>
        <w:tc>
          <w:tcPr>
            <w:tcW w:w="1193" w:type="dxa"/>
            <w:noWrap/>
            <w:vAlign w:val="center"/>
            <w:hideMark/>
          </w:tcPr>
          <w:p w:rsidR="008415D6" w:rsidRPr="00476A14" w:rsidRDefault="008415D6" w:rsidP="008415D6">
            <w:pPr>
              <w:jc w:val="center"/>
              <w:rPr>
                <w:rFonts w:eastAsia="Times New Roman" w:cs="Arial"/>
                <w:sz w:val="20"/>
                <w:szCs w:val="20"/>
                <w:lang w:val="en-CA" w:eastAsia="en-CA"/>
              </w:rPr>
            </w:pPr>
            <w:r w:rsidRPr="00476A14">
              <w:rPr>
                <w:rFonts w:eastAsia="Times New Roman" w:cs="Arial"/>
                <w:sz w:val="20"/>
                <w:szCs w:val="20"/>
                <w:lang w:val="en-CA" w:eastAsia="en-CA"/>
              </w:rPr>
              <w:t>3</w:t>
            </w:r>
          </w:p>
        </w:tc>
        <w:tc>
          <w:tcPr>
            <w:tcW w:w="1193" w:type="dxa"/>
            <w:noWrap/>
            <w:vAlign w:val="center"/>
            <w:hideMark/>
          </w:tcPr>
          <w:p w:rsidR="008415D6" w:rsidRPr="00476A14" w:rsidRDefault="008415D6" w:rsidP="008415D6">
            <w:pPr>
              <w:jc w:val="center"/>
              <w:rPr>
                <w:rFonts w:eastAsia="Times New Roman" w:cs="Arial"/>
                <w:b/>
                <w:bCs/>
                <w:sz w:val="20"/>
                <w:szCs w:val="20"/>
                <w:lang w:val="en-CA" w:eastAsia="en-CA"/>
              </w:rPr>
            </w:pPr>
            <w:r w:rsidRPr="00476A14">
              <w:rPr>
                <w:rFonts w:eastAsia="Times New Roman" w:cs="Arial"/>
                <w:b/>
                <w:bCs/>
                <w:sz w:val="20"/>
                <w:szCs w:val="20"/>
                <w:lang w:val="en-CA" w:eastAsia="en-CA"/>
              </w:rPr>
              <w:t>14</w:t>
            </w:r>
          </w:p>
        </w:tc>
      </w:tr>
    </w:tbl>
    <w:p w:rsidR="00C140CD" w:rsidRPr="00356F54" w:rsidRDefault="00C140CD" w:rsidP="00356F54"/>
    <w:p w:rsidR="00C140CD" w:rsidRDefault="00C140CD" w:rsidP="00C140CD">
      <w:pPr>
        <w:pStyle w:val="Heading3"/>
      </w:pPr>
      <w:r>
        <w:t>Waitlist by Priority</w:t>
      </w:r>
    </w:p>
    <w:p w:rsidR="00C140CD" w:rsidRPr="00C140CD" w:rsidRDefault="00C140CD" w:rsidP="00C140CD">
      <w:r>
        <w:t>The County of Grey provides special priority to victims of domestic violence. Special priority means a household will move to the top of the list for housing. The Housing Services Act, 2011 has specific terms in order to determine priority. The County of Grey works closely with Women’s Centre Grey Bruce through the women’s shelter and second stage transitional housing program to provide services to victi</w:t>
      </w:r>
      <w:r w:rsidR="00476A14">
        <w:t>ms of domestic violence. In 2014 there were 2</w:t>
      </w:r>
      <w:r>
        <w:t>5 applicants granted special priority status.</w:t>
      </w:r>
    </w:p>
    <w:p w:rsidR="001B162D" w:rsidRPr="00B0378D" w:rsidRDefault="001B162D" w:rsidP="00217518">
      <w:pPr>
        <w:pStyle w:val="Heading2"/>
        <w:rPr>
          <w:b/>
        </w:rPr>
      </w:pPr>
      <w:r w:rsidRPr="00B0378D">
        <w:t>Financial / Staffing / Legal / Information Technology Considerations</w:t>
      </w:r>
    </w:p>
    <w:p w:rsidR="001B162D" w:rsidRPr="00B0378D" w:rsidRDefault="00DF1FA8" w:rsidP="00FB686F">
      <w:r>
        <w:t>Wait list determines the need for rent geared to income housing in various communities throughout Grey County.</w:t>
      </w:r>
    </w:p>
    <w:p w:rsidR="008B19CB" w:rsidRPr="00580AAD" w:rsidRDefault="008B19CB" w:rsidP="00580AAD">
      <w:pPr>
        <w:pStyle w:val="Heading2"/>
      </w:pPr>
      <w:r w:rsidRPr="00580AAD">
        <w:t>Link to Strategic Goals / Priorities</w:t>
      </w:r>
    </w:p>
    <w:p w:rsidR="008B19CB" w:rsidRPr="00476870" w:rsidRDefault="00C140CD" w:rsidP="00FB686F">
      <w:r w:rsidRPr="00476870">
        <w:t xml:space="preserve">Rent Geared to income housing allows the </w:t>
      </w:r>
      <w:r w:rsidR="00FA7B5B" w:rsidRPr="00476870">
        <w:t xml:space="preserve">County of Grey to continue to address the issues of housing and homelessness to enable healthy and resilient communities and </w:t>
      </w:r>
      <w:r w:rsidR="00FA7B5B" w:rsidRPr="00476870">
        <w:lastRenderedPageBreak/>
        <w:t>assist in implementing the rec</w:t>
      </w:r>
      <w:r w:rsidR="00476A14">
        <w:t>ommendations of the 10 Year Housing and Homelessness Plan.</w:t>
      </w:r>
    </w:p>
    <w:p w:rsidR="008B19CB" w:rsidRPr="00B0378D" w:rsidRDefault="008B19CB" w:rsidP="00FB686F">
      <w:r w:rsidRPr="00B0378D">
        <w:t>Respectfully submitted by,</w:t>
      </w:r>
    </w:p>
    <w:p w:rsidR="008B19CB" w:rsidRPr="00B0378D" w:rsidRDefault="00BC2518" w:rsidP="00FB686F">
      <w:r>
        <w:t>Anne Marie Shaw</w:t>
      </w:r>
      <w:r w:rsidR="00476870">
        <w:br/>
      </w:r>
      <w:r w:rsidR="00476A14">
        <w:t>Director of Housing</w:t>
      </w:r>
    </w:p>
    <w:p w:rsidR="00D95BDB" w:rsidRPr="0095757A" w:rsidRDefault="00D95BDB" w:rsidP="00D95BDB">
      <w:pPr>
        <w:rPr>
          <w:rFonts w:ascii="Monotype Corsiva" w:hAnsi="Monotype Corsiva"/>
          <w:sz w:val="28"/>
          <w:szCs w:val="28"/>
        </w:rPr>
      </w:pPr>
    </w:p>
    <w:sectPr w:rsidR="00D95BDB" w:rsidRPr="0095757A" w:rsidSect="00686619">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B3" w:rsidRDefault="00656EB3" w:rsidP="00FB686F">
      <w:r>
        <w:separator/>
      </w:r>
    </w:p>
  </w:endnote>
  <w:endnote w:type="continuationSeparator" w:id="0">
    <w:p w:rsidR="00656EB3" w:rsidRDefault="00656EB3" w:rsidP="00FB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5F" w:rsidRPr="00FB686F" w:rsidRDefault="00476A14" w:rsidP="00FB686F">
    <w:pPr>
      <w:pStyle w:val="Footer"/>
      <w:rPr>
        <w:sz w:val="22"/>
        <w:szCs w:val="22"/>
      </w:rPr>
    </w:pPr>
    <w:r>
      <w:rPr>
        <w:sz w:val="22"/>
        <w:szCs w:val="22"/>
      </w:rPr>
      <w:t>HDR-SS-05-15</w:t>
    </w:r>
    <w:r w:rsidR="00A5705F" w:rsidRPr="00FB686F">
      <w:rPr>
        <w:sz w:val="22"/>
        <w:szCs w:val="22"/>
      </w:rPr>
      <w:ptab w:relativeTo="margin" w:alignment="center" w:leader="none"/>
    </w:r>
    <w:r w:rsidR="00A5705F" w:rsidRPr="00FB686F">
      <w:rPr>
        <w:sz w:val="22"/>
        <w:szCs w:val="22"/>
      </w:rPr>
      <w:fldChar w:fldCharType="begin"/>
    </w:r>
    <w:r w:rsidR="00A5705F" w:rsidRPr="00FB686F">
      <w:rPr>
        <w:sz w:val="22"/>
        <w:szCs w:val="22"/>
      </w:rPr>
      <w:instrText xml:space="preserve"> PAGE   \* MERGEFORMAT </w:instrText>
    </w:r>
    <w:r w:rsidR="00A5705F" w:rsidRPr="00FB686F">
      <w:rPr>
        <w:sz w:val="22"/>
        <w:szCs w:val="22"/>
      </w:rPr>
      <w:fldChar w:fldCharType="separate"/>
    </w:r>
    <w:r w:rsidR="0034523E">
      <w:rPr>
        <w:noProof/>
        <w:sz w:val="22"/>
        <w:szCs w:val="22"/>
      </w:rPr>
      <w:t>1</w:t>
    </w:r>
    <w:r w:rsidR="00A5705F" w:rsidRPr="00FB686F">
      <w:rPr>
        <w:noProof/>
        <w:sz w:val="22"/>
        <w:szCs w:val="22"/>
      </w:rPr>
      <w:fldChar w:fldCharType="end"/>
    </w:r>
    <w:r w:rsidR="00A5705F" w:rsidRPr="00FB686F">
      <w:rPr>
        <w:sz w:val="22"/>
        <w:szCs w:val="22"/>
      </w:rPr>
      <w:ptab w:relativeTo="margin" w:alignment="right" w:leader="none"/>
    </w:r>
    <w:r>
      <w:rPr>
        <w:sz w:val="22"/>
        <w:szCs w:val="22"/>
      </w:rPr>
      <w:t>February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B3" w:rsidRDefault="00656EB3" w:rsidP="00FB686F">
      <w:r>
        <w:separator/>
      </w:r>
    </w:p>
  </w:footnote>
  <w:footnote w:type="continuationSeparator" w:id="0">
    <w:p w:rsidR="00656EB3" w:rsidRDefault="00656EB3" w:rsidP="00FB6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E2B"/>
    <w:rsid w:val="00027D4E"/>
    <w:rsid w:val="00035834"/>
    <w:rsid w:val="00037B55"/>
    <w:rsid w:val="00070CEB"/>
    <w:rsid w:val="00075BEB"/>
    <w:rsid w:val="000A3FDD"/>
    <w:rsid w:val="000A6C05"/>
    <w:rsid w:val="000C7E02"/>
    <w:rsid w:val="000E0689"/>
    <w:rsid w:val="00102C57"/>
    <w:rsid w:val="001172F4"/>
    <w:rsid w:val="001231C6"/>
    <w:rsid w:val="00133654"/>
    <w:rsid w:val="001735F7"/>
    <w:rsid w:val="00191D48"/>
    <w:rsid w:val="001B1050"/>
    <w:rsid w:val="001B162D"/>
    <w:rsid w:val="001C3BF9"/>
    <w:rsid w:val="001C5620"/>
    <w:rsid w:val="001D2C14"/>
    <w:rsid w:val="001D47F3"/>
    <w:rsid w:val="00217518"/>
    <w:rsid w:val="00267149"/>
    <w:rsid w:val="002C48AB"/>
    <w:rsid w:val="002E1E4F"/>
    <w:rsid w:val="002F2A98"/>
    <w:rsid w:val="002F7ED9"/>
    <w:rsid w:val="0034088C"/>
    <w:rsid w:val="0034523E"/>
    <w:rsid w:val="00354352"/>
    <w:rsid w:val="00356F54"/>
    <w:rsid w:val="00364C81"/>
    <w:rsid w:val="0039093B"/>
    <w:rsid w:val="003C1284"/>
    <w:rsid w:val="003C4A45"/>
    <w:rsid w:val="00420AF1"/>
    <w:rsid w:val="00425C92"/>
    <w:rsid w:val="0043193A"/>
    <w:rsid w:val="00436562"/>
    <w:rsid w:val="0044398A"/>
    <w:rsid w:val="00451D2E"/>
    <w:rsid w:val="00475D0D"/>
    <w:rsid w:val="00476870"/>
    <w:rsid w:val="00476A14"/>
    <w:rsid w:val="00486F1D"/>
    <w:rsid w:val="004B71E7"/>
    <w:rsid w:val="004F69CE"/>
    <w:rsid w:val="00580AAD"/>
    <w:rsid w:val="00584C27"/>
    <w:rsid w:val="005C07B0"/>
    <w:rsid w:val="005C66C8"/>
    <w:rsid w:val="005D4D02"/>
    <w:rsid w:val="005D5AB1"/>
    <w:rsid w:val="006034D0"/>
    <w:rsid w:val="0061086A"/>
    <w:rsid w:val="0061780F"/>
    <w:rsid w:val="006516EC"/>
    <w:rsid w:val="00656EB3"/>
    <w:rsid w:val="00686619"/>
    <w:rsid w:val="006E2598"/>
    <w:rsid w:val="006E7CF3"/>
    <w:rsid w:val="00705BB2"/>
    <w:rsid w:val="00720998"/>
    <w:rsid w:val="00747F29"/>
    <w:rsid w:val="00752A92"/>
    <w:rsid w:val="00792A07"/>
    <w:rsid w:val="00807805"/>
    <w:rsid w:val="00825CB9"/>
    <w:rsid w:val="008415D6"/>
    <w:rsid w:val="00872C3F"/>
    <w:rsid w:val="008B19CB"/>
    <w:rsid w:val="008E76F7"/>
    <w:rsid w:val="009152AF"/>
    <w:rsid w:val="00936CB7"/>
    <w:rsid w:val="00945C77"/>
    <w:rsid w:val="009534BE"/>
    <w:rsid w:val="0095757A"/>
    <w:rsid w:val="0096045C"/>
    <w:rsid w:val="009651E7"/>
    <w:rsid w:val="009D64B0"/>
    <w:rsid w:val="009F2557"/>
    <w:rsid w:val="00A5705F"/>
    <w:rsid w:val="00A86DED"/>
    <w:rsid w:val="00AA5E0E"/>
    <w:rsid w:val="00AA6981"/>
    <w:rsid w:val="00AA7986"/>
    <w:rsid w:val="00AB0AB4"/>
    <w:rsid w:val="00AC7AEB"/>
    <w:rsid w:val="00B0378D"/>
    <w:rsid w:val="00B06127"/>
    <w:rsid w:val="00B123AB"/>
    <w:rsid w:val="00B51C0F"/>
    <w:rsid w:val="00B93D5B"/>
    <w:rsid w:val="00B95351"/>
    <w:rsid w:val="00BA3DD6"/>
    <w:rsid w:val="00BA49B0"/>
    <w:rsid w:val="00BC2518"/>
    <w:rsid w:val="00BD04A5"/>
    <w:rsid w:val="00BD62C7"/>
    <w:rsid w:val="00BF7279"/>
    <w:rsid w:val="00C01948"/>
    <w:rsid w:val="00C05155"/>
    <w:rsid w:val="00C140CD"/>
    <w:rsid w:val="00C21436"/>
    <w:rsid w:val="00C2345E"/>
    <w:rsid w:val="00C523D9"/>
    <w:rsid w:val="00C70F57"/>
    <w:rsid w:val="00CA35AA"/>
    <w:rsid w:val="00CA4275"/>
    <w:rsid w:val="00CA6DB9"/>
    <w:rsid w:val="00CB2131"/>
    <w:rsid w:val="00D11408"/>
    <w:rsid w:val="00D477E4"/>
    <w:rsid w:val="00D95BDB"/>
    <w:rsid w:val="00DA2066"/>
    <w:rsid w:val="00DE3EBC"/>
    <w:rsid w:val="00DF1FA8"/>
    <w:rsid w:val="00E0695A"/>
    <w:rsid w:val="00E144F8"/>
    <w:rsid w:val="00E26705"/>
    <w:rsid w:val="00E849B7"/>
    <w:rsid w:val="00EA2AEA"/>
    <w:rsid w:val="00ED5E47"/>
    <w:rsid w:val="00EE7F9D"/>
    <w:rsid w:val="00F30358"/>
    <w:rsid w:val="00F7243F"/>
    <w:rsid w:val="00F73245"/>
    <w:rsid w:val="00FA650D"/>
    <w:rsid w:val="00FA7B5B"/>
    <w:rsid w:val="00FB686F"/>
    <w:rsid w:val="00FC3ADC"/>
    <w:rsid w:val="00FC56D7"/>
    <w:rsid w:val="00FC7413"/>
    <w:rsid w:val="00FC76A8"/>
    <w:rsid w:val="00FD16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FB686F"/>
    <w:pPr>
      <w:spacing w:before="240"/>
      <w:outlineLvl w:val="1"/>
    </w:pPr>
    <w:rPr>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Heading3"/>
    <w:next w:val="Normal"/>
    <w:link w:val="Heading4Char"/>
    <w:uiPriority w:val="9"/>
    <w:unhideWhenUsed/>
    <w:qFormat/>
    <w:rsid w:val="00580AAD"/>
    <w:pPr>
      <w:outlineLvl w:val="3"/>
    </w:pPr>
    <w:rPr>
      <w:b/>
      <w:i w:val="0"/>
    </w:rPr>
  </w:style>
  <w:style w:type="paragraph" w:styleId="Heading5">
    <w:name w:val="heading 5"/>
    <w:basedOn w:val="Heading4"/>
    <w:next w:val="Normal"/>
    <w:link w:val="Heading5Char"/>
    <w:uiPriority w:val="9"/>
    <w:unhideWhenUsed/>
    <w:qFormat/>
    <w:rsid w:val="00580AAD"/>
    <w:pPr>
      <w:spacing w:before="200" w:after="0"/>
      <w:outlineLvl w:val="4"/>
    </w:pPr>
    <w:rPr>
      <w:i/>
      <w:color w:val="00000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sz w:val="24"/>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FB686F"/>
    <w:rPr>
      <w:rFonts w:asciiTheme="majorHAnsi" w:eastAsiaTheme="majorEastAsia" w:hAnsiTheme="majorHAnsi"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580AAD"/>
    <w:rPr>
      <w:rFonts w:asciiTheme="majorHAnsi" w:eastAsiaTheme="majorEastAsia" w:hAnsiTheme="majorHAnsi" w:cstheme="majorBidi"/>
      <w:b/>
      <w:bCs/>
      <w:sz w:val="28"/>
      <w:szCs w:val="32"/>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000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000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0000"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0000" w:themeColor="accent1"/>
      <w:spacing w:val="15"/>
      <w:sz w:val="24"/>
      <w:szCs w:val="24"/>
      <w:lang w:val="en-US"/>
    </w:rPr>
  </w:style>
  <w:style w:type="character" w:styleId="IntenseEmphasis">
    <w:name w:val="Intense Emphasis"/>
    <w:basedOn w:val="DefaultParagraphFont"/>
    <w:uiPriority w:val="21"/>
    <w:qFormat/>
    <w:rsid w:val="00D95BDB"/>
    <w:rPr>
      <w:b/>
      <w:bCs/>
      <w:i/>
      <w:iCs/>
      <w:color w:val="000000" w:themeColor="accent1"/>
    </w:rPr>
  </w:style>
  <w:style w:type="table" w:styleId="TableGrid">
    <w:name w:val="Table Grid"/>
    <w:basedOn w:val="TableNormal"/>
    <w:uiPriority w:val="59"/>
    <w:rsid w:val="00841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FB686F"/>
    <w:pPr>
      <w:spacing w:before="240"/>
      <w:outlineLvl w:val="1"/>
    </w:pPr>
    <w:rPr>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Heading3"/>
    <w:next w:val="Normal"/>
    <w:link w:val="Heading4Char"/>
    <w:uiPriority w:val="9"/>
    <w:unhideWhenUsed/>
    <w:qFormat/>
    <w:rsid w:val="00580AAD"/>
    <w:pPr>
      <w:outlineLvl w:val="3"/>
    </w:pPr>
    <w:rPr>
      <w:b/>
      <w:i w:val="0"/>
    </w:rPr>
  </w:style>
  <w:style w:type="paragraph" w:styleId="Heading5">
    <w:name w:val="heading 5"/>
    <w:basedOn w:val="Heading4"/>
    <w:next w:val="Normal"/>
    <w:link w:val="Heading5Char"/>
    <w:uiPriority w:val="9"/>
    <w:unhideWhenUsed/>
    <w:qFormat/>
    <w:rsid w:val="00580AAD"/>
    <w:pPr>
      <w:spacing w:before="200" w:after="0"/>
      <w:outlineLvl w:val="4"/>
    </w:pPr>
    <w:rPr>
      <w:i/>
      <w:color w:val="00000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sz w:val="24"/>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FB686F"/>
    <w:rPr>
      <w:rFonts w:asciiTheme="majorHAnsi" w:eastAsiaTheme="majorEastAsia" w:hAnsiTheme="majorHAnsi"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580AAD"/>
    <w:rPr>
      <w:rFonts w:asciiTheme="majorHAnsi" w:eastAsiaTheme="majorEastAsia" w:hAnsiTheme="majorHAnsi" w:cstheme="majorBidi"/>
      <w:b/>
      <w:bCs/>
      <w:sz w:val="28"/>
      <w:szCs w:val="32"/>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000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000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0000"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0000" w:themeColor="accent1"/>
      <w:spacing w:val="15"/>
      <w:sz w:val="24"/>
      <w:szCs w:val="24"/>
      <w:lang w:val="en-US"/>
    </w:rPr>
  </w:style>
  <w:style w:type="character" w:styleId="IntenseEmphasis">
    <w:name w:val="Intense Emphasis"/>
    <w:basedOn w:val="DefaultParagraphFont"/>
    <w:uiPriority w:val="21"/>
    <w:qFormat/>
    <w:rsid w:val="00D95BDB"/>
    <w:rPr>
      <w:b/>
      <w:bCs/>
      <w:i/>
      <w:iCs/>
      <w:color w:val="000000" w:themeColor="accent1"/>
    </w:rPr>
  </w:style>
  <w:style w:type="table" w:styleId="TableGrid">
    <w:name w:val="Table Grid"/>
    <w:basedOn w:val="TableNormal"/>
    <w:uiPriority w:val="59"/>
    <w:rsid w:val="00841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832">
      <w:bodyDiv w:val="1"/>
      <w:marLeft w:val="0"/>
      <w:marRight w:val="0"/>
      <w:marTop w:val="0"/>
      <w:marBottom w:val="0"/>
      <w:divBdr>
        <w:top w:val="none" w:sz="0" w:space="0" w:color="auto"/>
        <w:left w:val="none" w:sz="0" w:space="0" w:color="auto"/>
        <w:bottom w:val="none" w:sz="0" w:space="0" w:color="auto"/>
        <w:right w:val="none" w:sz="0" w:space="0" w:color="auto"/>
      </w:divBdr>
    </w:div>
    <w:div w:id="1270239069">
      <w:bodyDiv w:val="1"/>
      <w:marLeft w:val="0"/>
      <w:marRight w:val="0"/>
      <w:marTop w:val="0"/>
      <w:marBottom w:val="0"/>
      <w:divBdr>
        <w:top w:val="none" w:sz="0" w:space="0" w:color="auto"/>
        <w:left w:val="none" w:sz="0" w:space="0" w:color="auto"/>
        <w:bottom w:val="none" w:sz="0" w:space="0" w:color="auto"/>
        <w:right w:val="none" w:sz="0" w:space="0" w:color="auto"/>
      </w:divBdr>
    </w:div>
    <w:div w:id="19961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2015-01-29T15:12:00+00:00</sentdate>
    <Superseded xmlns="e6cd7bd4-3f3e-4495-b8c9-139289cd76e6">false</Superseded>
    <Year xmlns="e6cd7bd4-3f3e-4495-b8c9-139289cd76e6">2015</Year>
    <originator xmlns="e6cd7bd4-3f3e-4495-b8c9-139289cd76e6">shawa</originator>
    <policyNumber xmlns="e6cd7bd4-3f3e-4495-b8c9-139289cd76e6" xsi:nil="true"/>
    <documentNumber xmlns="e6cd7bd4-3f3e-4495-b8c9-139289cd76e6">GC_100168848</documentNumber>
    <Municipality xmlns="e6cd7bd4-3f3e-4495-b8c9-139289cd76e6" xsi:nil="true"/>
    <gcNumber xmlns="e6cd7bd4-3f3e-4495-b8c9-139289cd76e6">GC_243538</gcNumber>
    <recordCategory xmlns="e6cd7bd4-3f3e-4495-b8c9-139289cd76e6">C11</recordCategory>
    <isPublic xmlns="e6cd7bd4-3f3e-4495-b8c9-139289cd76e6">true</isPublic>
    <sharedId xmlns="e6cd7bd4-3f3e-4495-b8c9-139289cd76e6">madQ6wfLRH-YNiRth4lQ8g</sharedId>
    <committee xmlns="e6cd7bd4-3f3e-4495-b8c9-139289cd76e6">Social Services</committee>
    <meetingId xmlns="e6cd7bd4-3f3e-4495-b8c9-139289cd76e6">[2015-02-11 Social Services [1118]]</meetingId>
    <capitalProjectPriority xmlns="e6cd7bd4-3f3e-4495-b8c9-139289cd76e6" xsi:nil="true"/>
    <policyApprovalDate xmlns="e6cd7bd4-3f3e-4495-b8c9-139289cd76e6" xsi:nil="true"/>
    <NodeRef xmlns="e6cd7bd4-3f3e-4495-b8c9-139289cd76e6">efb2e5af-4ffa-4ad9-9a9f-3159790960a5</NodeRef>
    <addressees xmlns="e6cd7bd4-3f3e-4495-b8c9-139289cd76e6" xsi:nil="true"/>
    <identifier xmlns="e6cd7bd4-3f3e-4495-b8c9-139289cd76e6">2016-1467070236051</identifier>
    <reviewAsOf xmlns="e6cd7bd4-3f3e-4495-b8c9-139289cd76e6">2026-11-08T08:23:12+00:00</reviewAsOf>
    <bylawNumber xmlns="e6cd7bd4-3f3e-4495-b8c9-139289cd76e6" xsi:nil="true"/>
    <addressee xmlns="e6cd7bd4-3f3e-4495-b8c9-139289cd76e6" xsi:nil="true"/>
    <recordOriginatingLocation xmlns="e6cd7bd4-3f3e-4495-b8c9-139289cd76e6">workspace://SpacesStore/1382f395-9cb2-451a-bd2a-0e227fed8800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200444F-66C4-4FAE-AE11-F4C23009F5BE}">
  <ds:schemaRefs>
    <ds:schemaRef ds:uri="http://schemas.openxmlformats.org/officeDocument/2006/bibliography"/>
  </ds:schemaRefs>
</ds:datastoreItem>
</file>

<file path=customXml/itemProps2.xml><?xml version="1.0" encoding="utf-8"?>
<ds:datastoreItem xmlns:ds="http://schemas.openxmlformats.org/officeDocument/2006/customXml" ds:itemID="{575F02F7-6452-4414-B6B0-B936B3CB51D7}"/>
</file>

<file path=customXml/itemProps3.xml><?xml version="1.0" encoding="utf-8"?>
<ds:datastoreItem xmlns:ds="http://schemas.openxmlformats.org/officeDocument/2006/customXml" ds:itemID="{C6B14CE1-A36E-4C13-AD83-6307CE18EBEF}"/>
</file>

<file path=customXml/itemProps4.xml><?xml version="1.0" encoding="utf-8"?>
<ds:datastoreItem xmlns:ds="http://schemas.openxmlformats.org/officeDocument/2006/customXml" ds:itemID="{22FF40E9-59B8-46D7-8F87-3208C4023832}"/>
</file>

<file path=customXml/itemProps5.xml><?xml version="1.0" encoding="utf-8"?>
<ds:datastoreItem xmlns:ds="http://schemas.openxmlformats.org/officeDocument/2006/customXml" ds:itemID="{DB988F8C-EBD0-4864-AE6E-107F626E7AFD}"/>
</file>

<file path=docProps/app.xml><?xml version="1.0" encoding="utf-8"?>
<Properties xmlns="http://schemas.openxmlformats.org/officeDocument/2006/extended-properties" xmlns:vt="http://schemas.openxmlformats.org/officeDocument/2006/docPropsVTypes">
  <Template>Normal</Template>
  <TotalTime>70</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2013-01-29T16:36:00Z</cp:lastPrinted>
  <dcterms:created xsi:type="dcterms:W3CDTF">2015-01-29T20:12:00Z</dcterms:created>
  <dcterms:modified xsi:type="dcterms:W3CDTF">2015-03-04T21:10:00Z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