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001207D1" w:rsidR="00AC3A8B" w:rsidRPr="00FB686F" w:rsidRDefault="00AC3A8B" w:rsidP="006E00FA">
      <w:pPr>
        <w:pStyle w:val="Heading1"/>
        <w:keepNext w:val="0"/>
        <w:widowControl w:val="0"/>
        <w:jc w:val="center"/>
      </w:pPr>
      <w:r w:rsidRPr="00FB686F">
        <w:t xml:space="preserve">Report </w:t>
      </w:r>
      <w:r w:rsidR="004A07F1">
        <w:t>LTCR</w:t>
      </w:r>
      <w:r w:rsidRPr="00FB686F">
        <w:t>-</w:t>
      </w:r>
      <w:r w:rsidR="004A07F1">
        <w:t>CW</w:t>
      </w:r>
      <w:r w:rsidR="00A607A3">
        <w:t>-</w:t>
      </w:r>
      <w:r w:rsidR="008E6B26">
        <w:t>07</w:t>
      </w:r>
      <w:r w:rsidR="004A07F1">
        <w:t>-17</w:t>
      </w:r>
    </w:p>
    <w:p w14:paraId="0284D924" w14:textId="597A651E"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4A07F1">
        <w:rPr>
          <w:lang w:val="en-CA"/>
        </w:rPr>
        <w:t xml:space="preserve">Barfoot </w:t>
      </w:r>
      <w:r w:rsidR="00CF0CF7" w:rsidRPr="00CF0CF7">
        <w:rPr>
          <w:lang w:val="en-CA"/>
        </w:rPr>
        <w:t>and Members of Grey County</w:t>
      </w:r>
      <w:r w:rsidR="00CF0CF7">
        <w:rPr>
          <w:lang w:val="en-CA"/>
        </w:rPr>
        <w:t xml:space="preserve"> </w:t>
      </w:r>
      <w:r w:rsidR="00CF0CF7" w:rsidRPr="00CF0CF7">
        <w:rPr>
          <w:lang w:val="en-CA"/>
        </w:rPr>
        <w:t>Council</w:t>
      </w:r>
      <w:r>
        <w:tab/>
      </w:r>
    </w:p>
    <w:p w14:paraId="0284D925" w14:textId="6ED90B8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004A07F1">
        <w:tab/>
        <w:t>Lynne Johnson, Director of Long Term Care</w:t>
      </w:r>
      <w:r w:rsidRPr="00FB686F">
        <w:tab/>
      </w:r>
    </w:p>
    <w:p w14:paraId="0284D926" w14:textId="30B26A79"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004A07F1">
        <w:rPr>
          <w:rStyle w:val="Strong"/>
        </w:rPr>
        <w:tab/>
      </w:r>
      <w:r w:rsidR="006A3605">
        <w:rPr>
          <w:rStyle w:val="Strong"/>
          <w:b w:val="0"/>
        </w:rPr>
        <w:t>M</w:t>
      </w:r>
      <w:r w:rsidR="008E6B26">
        <w:rPr>
          <w:rStyle w:val="Strong"/>
          <w:b w:val="0"/>
        </w:rPr>
        <w:t>ay 11</w:t>
      </w:r>
      <w:r w:rsidR="004A07F1" w:rsidRPr="004A07F1">
        <w:rPr>
          <w:rStyle w:val="Strong"/>
          <w:b w:val="0"/>
        </w:rPr>
        <w:t>, 2017</w:t>
      </w:r>
      <w:r w:rsidRPr="00FB686F">
        <w:tab/>
      </w:r>
    </w:p>
    <w:p w14:paraId="0284D927" w14:textId="65876D80"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004A07F1">
        <w:rPr>
          <w:rStyle w:val="Strong"/>
        </w:rPr>
        <w:t xml:space="preserve"> </w:t>
      </w:r>
      <w:r w:rsidR="004A07F1">
        <w:rPr>
          <w:rStyle w:val="Strong"/>
        </w:rPr>
        <w:tab/>
      </w:r>
      <w:r w:rsidR="007F7C39">
        <w:rPr>
          <w:rStyle w:val="Strong"/>
        </w:rPr>
        <w:t>Grey County Long Term Care Review</w:t>
      </w:r>
      <w:r w:rsidR="00EC645C">
        <w:rPr>
          <w:rStyle w:val="Strong"/>
        </w:rPr>
        <w:t xml:space="preserve"> </w:t>
      </w:r>
    </w:p>
    <w:p w14:paraId="0284D928" w14:textId="0C90D248"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855A27">
        <w:t>Recommendation adopted by Committee as presented per Resolution CW-88-17;</w:t>
      </w:r>
      <w:r w:rsidR="006D7F4C">
        <w:t xml:space="preserve"> Endorsed by County Council May 25, 2017 per Resolution CC25-17; </w:t>
      </w:r>
      <w:bookmarkStart w:id="0" w:name="_GoBack"/>
      <w:bookmarkEnd w:id="0"/>
    </w:p>
    <w:p w14:paraId="1CA02E1D" w14:textId="77777777" w:rsidR="006A3605" w:rsidRDefault="006A3605" w:rsidP="006A3605">
      <w:pPr>
        <w:pStyle w:val="Heading2"/>
        <w:keepNext w:val="0"/>
        <w:widowControl w:val="0"/>
      </w:pPr>
      <w:r>
        <w:t>Recommendation</w:t>
      </w:r>
    </w:p>
    <w:p w14:paraId="415A334E" w14:textId="23CF71F0" w:rsidR="007F7C39" w:rsidRPr="007F7C39" w:rsidRDefault="007F7C39" w:rsidP="007F7C39">
      <w:r>
        <w:t>That report LTCR-CW-07-17 be received for information.</w:t>
      </w:r>
    </w:p>
    <w:p w14:paraId="776AB6EB" w14:textId="77777777" w:rsidR="0067454F" w:rsidRDefault="006A3605" w:rsidP="00A011B9">
      <w:pPr>
        <w:pStyle w:val="Heading2"/>
        <w:keepNext w:val="0"/>
        <w:widowControl w:val="0"/>
      </w:pPr>
      <w:r w:rsidRPr="00B0378D">
        <w:t>Background</w:t>
      </w:r>
      <w:r w:rsidR="0034272F">
        <w:t xml:space="preserve"> </w:t>
      </w:r>
    </w:p>
    <w:p w14:paraId="588BF99B" w14:textId="6047058D" w:rsidR="00B27D2A" w:rsidRDefault="00FE4115" w:rsidP="00CD6355">
      <w:r>
        <w:t xml:space="preserve">This report is follow up to </w:t>
      </w:r>
      <w:r w:rsidR="00AD4CFC">
        <w:t xml:space="preserve">report LTCR-CW-05-17 </w:t>
      </w:r>
      <w:r w:rsidR="007F7C39">
        <w:t>on</w:t>
      </w:r>
      <w:r>
        <w:t xml:space="preserve"> the delivery of</w:t>
      </w:r>
      <w:r w:rsidR="007F7C39">
        <w:t xml:space="preserve"> long term care </w:t>
      </w:r>
      <w:r>
        <w:t xml:space="preserve">services in Grey County that </w:t>
      </w:r>
      <w:r w:rsidR="00450154">
        <w:t>was provided to C</w:t>
      </w:r>
      <w:r w:rsidR="007F7C39">
        <w:t xml:space="preserve">ouncil on March 23, 2017. </w:t>
      </w:r>
      <w:r w:rsidR="00AD4CFC">
        <w:t>That report</w:t>
      </w:r>
      <w:r w:rsidR="007F7C39">
        <w:t xml:space="preserve"> was received, discussed and deferred until the May 11th meeting</w:t>
      </w:r>
      <w:r>
        <w:t xml:space="preserve"> in order to provide an opportunity for public consultation and in anticipation of receiving the market analysis for other services for seniors in southern Grey County and the investment analysis for the Grey Gables facility. </w:t>
      </w:r>
    </w:p>
    <w:p w14:paraId="555080A3" w14:textId="404A8470" w:rsidR="009F2FDF" w:rsidRPr="00CD6355" w:rsidRDefault="00837F8B" w:rsidP="00CD6355">
      <w:r>
        <w:t xml:space="preserve">The purpose of this report is to provide </w:t>
      </w:r>
      <w:r w:rsidR="00FE4115">
        <w:t xml:space="preserve">a summary of the </w:t>
      </w:r>
      <w:r w:rsidR="00AD4CFC">
        <w:t xml:space="preserve">comments from the public that have been received, </w:t>
      </w:r>
      <w:r>
        <w:t xml:space="preserve">address </w:t>
      </w:r>
      <w:r w:rsidR="00FE4115">
        <w:t xml:space="preserve">outstanding </w:t>
      </w:r>
      <w:r>
        <w:t>q</w:t>
      </w:r>
      <w:r w:rsidR="007F7C39">
        <w:t>uestions</w:t>
      </w:r>
      <w:r>
        <w:t xml:space="preserve"> </w:t>
      </w:r>
      <w:r w:rsidR="007F7C39">
        <w:t xml:space="preserve">and </w:t>
      </w:r>
      <w:r>
        <w:t xml:space="preserve">clarify </w:t>
      </w:r>
      <w:r w:rsidR="007F7C39">
        <w:t>implications related to remaining with the status quo.</w:t>
      </w:r>
    </w:p>
    <w:p w14:paraId="0CF8291D" w14:textId="77777777" w:rsidR="0062644F" w:rsidRDefault="0062644F" w:rsidP="0062644F">
      <w:pPr>
        <w:pStyle w:val="Heading2"/>
        <w:keepNext w:val="0"/>
        <w:widowControl w:val="0"/>
      </w:pPr>
      <w:r>
        <w:t>Engagement and Feedback</w:t>
      </w:r>
    </w:p>
    <w:p w14:paraId="7E1A75E2" w14:textId="1E845B8D" w:rsidR="00F940D8" w:rsidRDefault="00FE4115" w:rsidP="00834F68">
      <w:pPr>
        <w:rPr>
          <w:lang w:val="en-CA"/>
        </w:rPr>
      </w:pPr>
      <w:r>
        <w:rPr>
          <w:lang w:val="en-CA"/>
        </w:rPr>
        <w:t xml:space="preserve">There has been a </w:t>
      </w:r>
      <w:r w:rsidR="00834F68">
        <w:rPr>
          <w:lang w:val="en-CA"/>
        </w:rPr>
        <w:t xml:space="preserve">dedicated webpage </w:t>
      </w:r>
      <w:r w:rsidR="00A03B2E">
        <w:rPr>
          <w:lang w:val="en-CA"/>
        </w:rPr>
        <w:t>(</w:t>
      </w:r>
      <w:hyperlink r:id="rId10" w:history="1">
        <w:r w:rsidR="00A03B2E" w:rsidRPr="00994F20">
          <w:rPr>
            <w:rStyle w:val="Hyperlink"/>
            <w:lang w:val="en-CA"/>
          </w:rPr>
          <w:t>https://www.grey.ca/long-term-care/redeveloping-long-term-care</w:t>
        </w:r>
      </w:hyperlink>
      <w:r w:rsidR="00A03B2E">
        <w:rPr>
          <w:lang w:val="en-CA"/>
        </w:rPr>
        <w:t xml:space="preserve">) </w:t>
      </w:r>
      <w:r w:rsidR="00C117A5">
        <w:rPr>
          <w:lang w:val="en-CA"/>
        </w:rPr>
        <w:t>for</w:t>
      </w:r>
      <w:r w:rsidR="00834F68">
        <w:rPr>
          <w:lang w:val="en-CA"/>
        </w:rPr>
        <w:t xml:space="preserve"> all long term care review information</w:t>
      </w:r>
      <w:r>
        <w:rPr>
          <w:lang w:val="en-CA"/>
        </w:rPr>
        <w:t xml:space="preserve"> since July 2016</w:t>
      </w:r>
      <w:r w:rsidR="00834F68">
        <w:rPr>
          <w:lang w:val="en-CA"/>
        </w:rPr>
        <w:t>.  Since the original background information was uploaded, the webpage has been updated regularly with new information. The page contains</w:t>
      </w:r>
      <w:r w:rsidR="00F940D8">
        <w:rPr>
          <w:lang w:val="en-CA"/>
        </w:rPr>
        <w:t>:</w:t>
      </w:r>
    </w:p>
    <w:p w14:paraId="072F261F" w14:textId="77777777" w:rsidR="00F940D8" w:rsidRDefault="00834F68" w:rsidP="00F940D8">
      <w:pPr>
        <w:pStyle w:val="ListParagraph"/>
        <w:numPr>
          <w:ilvl w:val="0"/>
          <w:numId w:val="15"/>
        </w:numPr>
        <w:rPr>
          <w:lang w:val="en-CA"/>
        </w:rPr>
      </w:pPr>
      <w:r w:rsidRPr="00F940D8">
        <w:rPr>
          <w:lang w:val="en-CA"/>
        </w:rPr>
        <w:t xml:space="preserve">the latest staff reports to council, </w:t>
      </w:r>
    </w:p>
    <w:p w14:paraId="509BD234" w14:textId="77777777" w:rsidR="00F940D8" w:rsidRDefault="00834F68" w:rsidP="00F940D8">
      <w:pPr>
        <w:pStyle w:val="ListParagraph"/>
        <w:numPr>
          <w:ilvl w:val="0"/>
          <w:numId w:val="15"/>
        </w:numPr>
        <w:rPr>
          <w:lang w:val="en-CA"/>
        </w:rPr>
      </w:pPr>
      <w:r w:rsidRPr="00F940D8">
        <w:rPr>
          <w:lang w:val="en-CA"/>
        </w:rPr>
        <w:t xml:space="preserve">recordings of committee discussions and public information, </w:t>
      </w:r>
    </w:p>
    <w:p w14:paraId="7FECE0E1" w14:textId="77777777" w:rsidR="00F940D8" w:rsidRDefault="00834F68" w:rsidP="00F940D8">
      <w:pPr>
        <w:pStyle w:val="ListParagraph"/>
        <w:numPr>
          <w:ilvl w:val="0"/>
          <w:numId w:val="15"/>
        </w:numPr>
        <w:rPr>
          <w:lang w:val="en-CA"/>
        </w:rPr>
      </w:pPr>
      <w:r w:rsidRPr="00F940D8">
        <w:rPr>
          <w:lang w:val="en-CA"/>
        </w:rPr>
        <w:t xml:space="preserve">the Sienna report, </w:t>
      </w:r>
    </w:p>
    <w:p w14:paraId="03B2F580" w14:textId="1D0FD63F" w:rsidR="00F940D8" w:rsidRDefault="00FE4115" w:rsidP="00F940D8">
      <w:pPr>
        <w:pStyle w:val="ListParagraph"/>
        <w:numPr>
          <w:ilvl w:val="0"/>
          <w:numId w:val="15"/>
        </w:numPr>
        <w:rPr>
          <w:lang w:val="en-CA"/>
        </w:rPr>
      </w:pPr>
      <w:r>
        <w:rPr>
          <w:lang w:val="en-CA"/>
        </w:rPr>
        <w:lastRenderedPageBreak/>
        <w:t>information from the LHIN,</w:t>
      </w:r>
    </w:p>
    <w:p w14:paraId="039AE524" w14:textId="77777777" w:rsidR="00FE4115" w:rsidRDefault="00834F68" w:rsidP="00F940D8">
      <w:pPr>
        <w:pStyle w:val="ListParagraph"/>
        <w:numPr>
          <w:ilvl w:val="0"/>
          <w:numId w:val="15"/>
        </w:numPr>
        <w:rPr>
          <w:lang w:val="en-CA"/>
        </w:rPr>
      </w:pPr>
      <w:r w:rsidRPr="00F940D8">
        <w:rPr>
          <w:lang w:val="en-CA"/>
        </w:rPr>
        <w:t>a comprehensive list of frequently asked questions</w:t>
      </w:r>
      <w:r w:rsidR="00FE4115">
        <w:rPr>
          <w:lang w:val="en-CA"/>
        </w:rPr>
        <w:t>, and</w:t>
      </w:r>
    </w:p>
    <w:p w14:paraId="650E11BB" w14:textId="51BAE6EB" w:rsidR="00834F68" w:rsidRPr="00F940D8" w:rsidRDefault="00FE4115" w:rsidP="00F940D8">
      <w:pPr>
        <w:pStyle w:val="ListParagraph"/>
        <w:numPr>
          <w:ilvl w:val="0"/>
          <w:numId w:val="15"/>
        </w:numPr>
        <w:rPr>
          <w:lang w:val="en-CA"/>
        </w:rPr>
      </w:pPr>
      <w:r>
        <w:rPr>
          <w:lang w:val="en-CA"/>
        </w:rPr>
        <w:t>contact information to provide comments via phone or email</w:t>
      </w:r>
      <w:r w:rsidR="00834F68" w:rsidRPr="00F940D8">
        <w:rPr>
          <w:lang w:val="en-CA"/>
        </w:rPr>
        <w:t>.</w:t>
      </w:r>
    </w:p>
    <w:p w14:paraId="770B9330" w14:textId="7E5640E9" w:rsidR="00834F68" w:rsidRDefault="00834F68" w:rsidP="00834F68">
      <w:pPr>
        <w:rPr>
          <w:lang w:val="en-CA"/>
        </w:rPr>
      </w:pPr>
      <w:r>
        <w:rPr>
          <w:lang w:val="en-CA"/>
        </w:rPr>
        <w:t>In total, the webpage has received over 900 unique page views. The average time spent on the page is five minute</w:t>
      </w:r>
      <w:r w:rsidR="00BE50FF">
        <w:rPr>
          <w:lang w:val="en-CA"/>
        </w:rPr>
        <w:t>s</w:t>
      </w:r>
      <w:r>
        <w:rPr>
          <w:lang w:val="en-CA"/>
        </w:rPr>
        <w:t xml:space="preserve"> and visits to the webpage peaked at 137 views on March 20</w:t>
      </w:r>
      <w:r w:rsidR="00BE50FF">
        <w:rPr>
          <w:lang w:val="en-CA"/>
        </w:rPr>
        <w:t>th</w:t>
      </w:r>
      <w:r>
        <w:rPr>
          <w:lang w:val="en-CA"/>
        </w:rPr>
        <w:t>.</w:t>
      </w:r>
    </w:p>
    <w:p w14:paraId="1D9F3E98" w14:textId="77777777" w:rsidR="00AD4CFC" w:rsidRDefault="00AD4CFC" w:rsidP="00AD4CFC">
      <w:pPr>
        <w:rPr>
          <w:lang w:val="en-CA"/>
        </w:rPr>
      </w:pPr>
      <w:r>
        <w:rPr>
          <w:lang w:val="en-CA"/>
        </w:rPr>
        <w:t>More than 200 people attended each of the two public information sessions that were held to give residents the opportunity to learn, ask questions and provide feedback in person to Grey County staff. The first meeting was held at the Durham Community Centre on March 30, 2017 with more than 25 people sharing comments.  The second meeting was held at the Centre Grey Recreation Complex in Markdale on March 31, 2017 and more than 40 speakers shared comments. Both meetings were recorded and are available on the County’s YouTube channel which is linked on the redevelopment webpage.</w:t>
      </w:r>
    </w:p>
    <w:p w14:paraId="4FFA3E14" w14:textId="54EE948A" w:rsidR="00AD4CFC" w:rsidRDefault="00AD4CFC" w:rsidP="00AD4CFC">
      <w:pPr>
        <w:rPr>
          <w:lang w:val="en-CA"/>
        </w:rPr>
      </w:pPr>
      <w:r>
        <w:rPr>
          <w:lang w:val="en-CA"/>
        </w:rPr>
        <w:t>F</w:t>
      </w:r>
      <w:r w:rsidR="00834F68">
        <w:rPr>
          <w:lang w:val="en-CA"/>
        </w:rPr>
        <w:t>ollowing the March 23</w:t>
      </w:r>
      <w:r w:rsidR="00BE50FF">
        <w:rPr>
          <w:lang w:val="en-CA"/>
        </w:rPr>
        <w:t>rd</w:t>
      </w:r>
      <w:r w:rsidR="00834F68">
        <w:rPr>
          <w:lang w:val="en-CA"/>
        </w:rPr>
        <w:t xml:space="preserve"> report to council, a </w:t>
      </w:r>
      <w:r w:rsidR="00F940D8">
        <w:rPr>
          <w:lang w:val="en-CA"/>
        </w:rPr>
        <w:t>dedicated</w:t>
      </w:r>
      <w:r w:rsidR="00834F68">
        <w:rPr>
          <w:lang w:val="en-CA"/>
        </w:rPr>
        <w:t xml:space="preserve"> em</w:t>
      </w:r>
      <w:r>
        <w:rPr>
          <w:lang w:val="en-CA"/>
        </w:rPr>
        <w:t>ail address and phone number were</w:t>
      </w:r>
      <w:r w:rsidR="00834F68">
        <w:rPr>
          <w:lang w:val="en-CA"/>
        </w:rPr>
        <w:t xml:space="preserve"> created</w:t>
      </w:r>
      <w:r>
        <w:rPr>
          <w:lang w:val="en-CA"/>
        </w:rPr>
        <w:t xml:space="preserve"> and promoted as an easy way for the public to provide comments</w:t>
      </w:r>
      <w:r w:rsidR="00F940D8">
        <w:rPr>
          <w:lang w:val="en-CA"/>
        </w:rPr>
        <w:t xml:space="preserve">. </w:t>
      </w:r>
      <w:r w:rsidR="00834F68">
        <w:rPr>
          <w:lang w:val="en-CA"/>
        </w:rPr>
        <w:t xml:space="preserve"> </w:t>
      </w:r>
      <w:proofErr w:type="gramStart"/>
      <w:r w:rsidR="00B578BB">
        <w:rPr>
          <w:lang w:val="en-CA"/>
        </w:rPr>
        <w:t>Staff</w:t>
      </w:r>
      <w:proofErr w:type="gramEnd"/>
      <w:r w:rsidR="00B578BB">
        <w:rPr>
          <w:lang w:val="en-CA"/>
        </w:rPr>
        <w:t xml:space="preserve"> understands</w:t>
      </w:r>
      <w:r>
        <w:rPr>
          <w:lang w:val="en-CA"/>
        </w:rPr>
        <w:t xml:space="preserve"> that some people are hesitant about public speaking </w:t>
      </w:r>
      <w:r w:rsidR="00BE50FF">
        <w:rPr>
          <w:lang w:val="en-CA"/>
        </w:rPr>
        <w:t>therefore</w:t>
      </w:r>
      <w:r>
        <w:rPr>
          <w:lang w:val="en-CA"/>
        </w:rPr>
        <w:t xml:space="preserve"> comment cards and boxes were available at each meeting to give attendees the opportunity to share their thoughts.</w:t>
      </w:r>
    </w:p>
    <w:p w14:paraId="121A9BDD" w14:textId="0FA4E8F3" w:rsidR="00834F68" w:rsidRDefault="00834F68" w:rsidP="00834F68">
      <w:pPr>
        <w:rPr>
          <w:lang w:val="en-CA"/>
        </w:rPr>
      </w:pPr>
      <w:r>
        <w:rPr>
          <w:lang w:val="en-CA"/>
        </w:rPr>
        <w:t xml:space="preserve">All emails sent to </w:t>
      </w:r>
      <w:hyperlink r:id="rId11" w:history="1">
        <w:r w:rsidRPr="007773CB">
          <w:rPr>
            <w:rStyle w:val="Hyperlink"/>
            <w:lang w:val="en-CA"/>
          </w:rPr>
          <w:t>LTCreview@grey.ca</w:t>
        </w:r>
      </w:hyperlink>
      <w:r>
        <w:rPr>
          <w:lang w:val="en-CA"/>
        </w:rPr>
        <w:t xml:space="preserve">  and messages left on the long term care review voicemail box were directed to Communications</w:t>
      </w:r>
      <w:r w:rsidR="00A03B2E">
        <w:rPr>
          <w:lang w:val="en-CA"/>
        </w:rPr>
        <w:t xml:space="preserve"> </w:t>
      </w:r>
      <w:r w:rsidR="00F940D8">
        <w:rPr>
          <w:lang w:val="en-CA"/>
        </w:rPr>
        <w:t>for</w:t>
      </w:r>
      <w:r>
        <w:rPr>
          <w:lang w:val="en-CA"/>
        </w:rPr>
        <w:t xml:space="preserve"> track</w:t>
      </w:r>
      <w:r w:rsidR="00F940D8">
        <w:rPr>
          <w:lang w:val="en-CA"/>
        </w:rPr>
        <w:t>ing</w:t>
      </w:r>
      <w:r>
        <w:rPr>
          <w:lang w:val="en-CA"/>
        </w:rPr>
        <w:t xml:space="preserve"> and followed up as necessary. </w:t>
      </w:r>
    </w:p>
    <w:p w14:paraId="7012E13F" w14:textId="24109ED1" w:rsidR="00F940D8" w:rsidRDefault="00B414D4" w:rsidP="00834F68">
      <w:pPr>
        <w:rPr>
          <w:lang w:val="en-CA"/>
        </w:rPr>
      </w:pPr>
      <w:r>
        <w:rPr>
          <w:lang w:val="en-CA"/>
        </w:rPr>
        <w:t xml:space="preserve">A summary of the feedback that was received after March 23, 2017 is in the following table. </w:t>
      </w:r>
      <w:r w:rsidR="00802CF6">
        <w:rPr>
          <w:lang w:val="en-CA"/>
        </w:rPr>
        <w:t>It does not include one-on-one feedback provided in person</w:t>
      </w:r>
      <w:r w:rsidR="00C5253F">
        <w:rPr>
          <w:lang w:val="en-CA"/>
        </w:rPr>
        <w:t xml:space="preserve"> or the </w:t>
      </w:r>
      <w:r>
        <w:rPr>
          <w:lang w:val="en-CA"/>
        </w:rPr>
        <w:t>letters sent to local newspapers. The</w:t>
      </w:r>
      <w:r w:rsidR="00C5253F">
        <w:rPr>
          <w:lang w:val="en-CA"/>
        </w:rPr>
        <w:t xml:space="preserve"> ideas expressed in those letters </w:t>
      </w:r>
      <w:r>
        <w:rPr>
          <w:lang w:val="en-CA"/>
        </w:rPr>
        <w:t>have been incorporated into the</w:t>
      </w:r>
      <w:r w:rsidR="00C5253F">
        <w:rPr>
          <w:lang w:val="en-CA"/>
        </w:rPr>
        <w:t xml:space="preserve"> What We Heard themes.</w:t>
      </w:r>
    </w:p>
    <w:tbl>
      <w:tblPr>
        <w:tblStyle w:val="TableGrid"/>
        <w:tblW w:w="0" w:type="auto"/>
        <w:tblInd w:w="1668" w:type="dxa"/>
        <w:tblLook w:val="04A0" w:firstRow="1" w:lastRow="0" w:firstColumn="1" w:lastColumn="0" w:noHBand="0" w:noVBand="1"/>
        <w:tblDescription w:val="Table showing the numbers and types of feedback received"/>
      </w:tblPr>
      <w:tblGrid>
        <w:gridCol w:w="3120"/>
        <w:gridCol w:w="3258"/>
      </w:tblGrid>
      <w:tr w:rsidR="00B414D4" w14:paraId="1E0EA60F" w14:textId="77777777" w:rsidTr="003F6D5A">
        <w:trPr>
          <w:trHeight w:val="567"/>
          <w:tblHeader/>
        </w:trPr>
        <w:tc>
          <w:tcPr>
            <w:tcW w:w="3120" w:type="dxa"/>
            <w:shd w:val="clear" w:color="auto" w:fill="96005F"/>
            <w:vAlign w:val="center"/>
          </w:tcPr>
          <w:p w14:paraId="5B491BB1" w14:textId="77777777" w:rsidR="00B414D4" w:rsidRPr="00771E2B" w:rsidRDefault="00B414D4" w:rsidP="00553C79">
            <w:pPr>
              <w:jc w:val="center"/>
              <w:rPr>
                <w:color w:val="FFFFFF" w:themeColor="background1"/>
                <w:lang w:val="en-CA"/>
              </w:rPr>
            </w:pPr>
            <w:r w:rsidRPr="00771E2B">
              <w:rPr>
                <w:color w:val="FFFFFF" w:themeColor="background1"/>
                <w:lang w:val="en-CA"/>
              </w:rPr>
              <w:t>Feedback Method</w:t>
            </w:r>
          </w:p>
        </w:tc>
        <w:tc>
          <w:tcPr>
            <w:tcW w:w="3258" w:type="dxa"/>
            <w:shd w:val="clear" w:color="auto" w:fill="96005F"/>
            <w:vAlign w:val="center"/>
          </w:tcPr>
          <w:p w14:paraId="1EB843D3" w14:textId="77777777" w:rsidR="00B414D4" w:rsidRPr="00771E2B" w:rsidRDefault="00B414D4" w:rsidP="00553C79">
            <w:pPr>
              <w:jc w:val="center"/>
              <w:rPr>
                <w:color w:val="FFFFFF" w:themeColor="background1"/>
                <w:lang w:val="en-CA"/>
              </w:rPr>
            </w:pPr>
            <w:r w:rsidRPr="00771E2B">
              <w:rPr>
                <w:color w:val="FFFFFF" w:themeColor="background1"/>
                <w:lang w:val="en-CA"/>
              </w:rPr>
              <w:t>Number of Comments</w:t>
            </w:r>
          </w:p>
        </w:tc>
      </w:tr>
      <w:tr w:rsidR="00B414D4" w14:paraId="4B9278EE" w14:textId="77777777" w:rsidTr="003F6D5A">
        <w:trPr>
          <w:trHeight w:val="391"/>
          <w:tblHeader/>
        </w:trPr>
        <w:tc>
          <w:tcPr>
            <w:tcW w:w="3120" w:type="dxa"/>
            <w:vAlign w:val="center"/>
          </w:tcPr>
          <w:p w14:paraId="33054DF7" w14:textId="77777777" w:rsidR="00B414D4" w:rsidRDefault="00B414D4" w:rsidP="00B414D4">
            <w:pPr>
              <w:rPr>
                <w:lang w:val="en-CA"/>
              </w:rPr>
            </w:pPr>
            <w:r>
              <w:rPr>
                <w:lang w:val="en-CA"/>
              </w:rPr>
              <w:t>Comment Cards</w:t>
            </w:r>
          </w:p>
        </w:tc>
        <w:tc>
          <w:tcPr>
            <w:tcW w:w="3258" w:type="dxa"/>
            <w:vAlign w:val="center"/>
          </w:tcPr>
          <w:p w14:paraId="6D8CBF44" w14:textId="77777777" w:rsidR="00B414D4" w:rsidRDefault="00B414D4" w:rsidP="00B414D4">
            <w:pPr>
              <w:jc w:val="center"/>
              <w:rPr>
                <w:lang w:val="en-CA"/>
              </w:rPr>
            </w:pPr>
            <w:r>
              <w:rPr>
                <w:lang w:val="en-CA"/>
              </w:rPr>
              <w:t>25</w:t>
            </w:r>
          </w:p>
        </w:tc>
      </w:tr>
      <w:tr w:rsidR="00B414D4" w14:paraId="66C50006" w14:textId="77777777" w:rsidTr="003F6D5A">
        <w:trPr>
          <w:trHeight w:val="425"/>
          <w:tblHeader/>
        </w:trPr>
        <w:tc>
          <w:tcPr>
            <w:tcW w:w="3120" w:type="dxa"/>
            <w:vAlign w:val="center"/>
          </w:tcPr>
          <w:p w14:paraId="4D362B96" w14:textId="77777777" w:rsidR="00B414D4" w:rsidRDefault="00B414D4" w:rsidP="00B414D4">
            <w:pPr>
              <w:rPr>
                <w:lang w:val="en-CA"/>
              </w:rPr>
            </w:pPr>
            <w:r>
              <w:rPr>
                <w:lang w:val="en-CA"/>
              </w:rPr>
              <w:t>Speaking at meetings</w:t>
            </w:r>
          </w:p>
        </w:tc>
        <w:tc>
          <w:tcPr>
            <w:tcW w:w="3258" w:type="dxa"/>
            <w:vAlign w:val="center"/>
          </w:tcPr>
          <w:p w14:paraId="3232ED43" w14:textId="77777777" w:rsidR="00B414D4" w:rsidRDefault="00B414D4" w:rsidP="00B414D4">
            <w:pPr>
              <w:jc w:val="center"/>
              <w:rPr>
                <w:lang w:val="en-CA"/>
              </w:rPr>
            </w:pPr>
            <w:r>
              <w:rPr>
                <w:lang w:val="en-CA"/>
              </w:rPr>
              <w:t>75+</w:t>
            </w:r>
          </w:p>
        </w:tc>
      </w:tr>
      <w:tr w:rsidR="00B414D4" w14:paraId="10100535" w14:textId="77777777" w:rsidTr="003F6D5A">
        <w:trPr>
          <w:trHeight w:val="417"/>
          <w:tblHeader/>
        </w:trPr>
        <w:tc>
          <w:tcPr>
            <w:tcW w:w="3120" w:type="dxa"/>
            <w:vAlign w:val="center"/>
          </w:tcPr>
          <w:p w14:paraId="2E9EDA78" w14:textId="77777777" w:rsidR="00B414D4" w:rsidRDefault="00B414D4" w:rsidP="00B414D4">
            <w:pPr>
              <w:rPr>
                <w:lang w:val="en-CA"/>
              </w:rPr>
            </w:pPr>
            <w:r>
              <w:rPr>
                <w:lang w:val="en-CA"/>
              </w:rPr>
              <w:t>Voicemail Messages</w:t>
            </w:r>
          </w:p>
        </w:tc>
        <w:tc>
          <w:tcPr>
            <w:tcW w:w="3258" w:type="dxa"/>
            <w:vAlign w:val="center"/>
          </w:tcPr>
          <w:p w14:paraId="1F3003D7" w14:textId="77777777" w:rsidR="00B414D4" w:rsidRDefault="00B414D4" w:rsidP="00B414D4">
            <w:pPr>
              <w:jc w:val="center"/>
              <w:rPr>
                <w:lang w:val="en-CA"/>
              </w:rPr>
            </w:pPr>
            <w:r>
              <w:rPr>
                <w:lang w:val="en-CA"/>
              </w:rPr>
              <w:t>4</w:t>
            </w:r>
          </w:p>
        </w:tc>
      </w:tr>
      <w:tr w:rsidR="00B414D4" w14:paraId="38BFA79C" w14:textId="77777777" w:rsidTr="003F6D5A">
        <w:trPr>
          <w:trHeight w:val="409"/>
          <w:tblHeader/>
        </w:trPr>
        <w:tc>
          <w:tcPr>
            <w:tcW w:w="3120" w:type="dxa"/>
            <w:vAlign w:val="center"/>
          </w:tcPr>
          <w:p w14:paraId="51A47B46" w14:textId="77777777" w:rsidR="00B414D4" w:rsidRDefault="00B414D4" w:rsidP="00B414D4">
            <w:pPr>
              <w:rPr>
                <w:lang w:val="en-CA"/>
              </w:rPr>
            </w:pPr>
            <w:r>
              <w:rPr>
                <w:lang w:val="en-CA"/>
              </w:rPr>
              <w:t>Emails/Letters</w:t>
            </w:r>
          </w:p>
        </w:tc>
        <w:tc>
          <w:tcPr>
            <w:tcW w:w="3258" w:type="dxa"/>
            <w:vAlign w:val="center"/>
          </w:tcPr>
          <w:p w14:paraId="2E1A0F09" w14:textId="77777777" w:rsidR="00B414D4" w:rsidRDefault="00B414D4" w:rsidP="00B414D4">
            <w:pPr>
              <w:jc w:val="center"/>
              <w:rPr>
                <w:lang w:val="en-CA"/>
              </w:rPr>
            </w:pPr>
            <w:r>
              <w:rPr>
                <w:lang w:val="en-CA"/>
              </w:rPr>
              <w:t>16</w:t>
            </w:r>
          </w:p>
        </w:tc>
      </w:tr>
    </w:tbl>
    <w:p w14:paraId="12056A90" w14:textId="77777777" w:rsidR="00834F68" w:rsidRDefault="00834F68" w:rsidP="0062644F"/>
    <w:p w14:paraId="74D5DA1F" w14:textId="77777777" w:rsidR="00834F68" w:rsidRDefault="00834F68" w:rsidP="0062644F"/>
    <w:p w14:paraId="4B1DBFDC" w14:textId="77777777" w:rsidR="00834F68" w:rsidRDefault="00834F68" w:rsidP="0062644F"/>
    <w:p w14:paraId="43177FA2" w14:textId="307A7B1D" w:rsidR="00B414D4" w:rsidRDefault="00553299" w:rsidP="00553299">
      <w:pPr>
        <w:pStyle w:val="Heading3"/>
        <w:rPr>
          <w:lang w:val="en-CA"/>
        </w:rPr>
      </w:pPr>
      <w:r>
        <w:rPr>
          <w:lang w:val="en-CA"/>
        </w:rPr>
        <w:t>What We H</w:t>
      </w:r>
      <w:r w:rsidR="00B414D4">
        <w:rPr>
          <w:lang w:val="en-CA"/>
        </w:rPr>
        <w:t>eard</w:t>
      </w:r>
    </w:p>
    <w:p w14:paraId="778830E1" w14:textId="01E21467" w:rsidR="00B414D4" w:rsidRDefault="00C5253F" w:rsidP="00B414D4">
      <w:pPr>
        <w:rPr>
          <w:lang w:val="en-CA"/>
        </w:rPr>
      </w:pPr>
      <w:r>
        <w:rPr>
          <w:lang w:val="en-CA"/>
        </w:rPr>
        <w:t>In total, 12</w:t>
      </w:r>
      <w:r w:rsidR="00B414D4">
        <w:rPr>
          <w:lang w:val="en-CA"/>
        </w:rPr>
        <w:t>3 comments and questions were received. Of the comments, a few common themes were identified.</w:t>
      </w:r>
    </w:p>
    <w:p w14:paraId="3EC82F6F" w14:textId="4DE1ABEF" w:rsidR="00B414D4" w:rsidRPr="00B414D4" w:rsidRDefault="00B414D4" w:rsidP="00B414D4">
      <w:pPr>
        <w:pStyle w:val="ListParagraph"/>
        <w:numPr>
          <w:ilvl w:val="0"/>
          <w:numId w:val="16"/>
        </w:numPr>
        <w:spacing w:after="0"/>
        <w:rPr>
          <w:b/>
          <w:lang w:val="en-CA"/>
        </w:rPr>
      </w:pPr>
      <w:r w:rsidRPr="00B414D4">
        <w:rPr>
          <w:b/>
          <w:lang w:val="en-CA"/>
        </w:rPr>
        <w:t>Support for “status quo”</w:t>
      </w:r>
    </w:p>
    <w:p w14:paraId="2B7AD6C2" w14:textId="77777777" w:rsidR="00B414D4" w:rsidRDefault="00B414D4" w:rsidP="00B414D4">
      <w:pPr>
        <w:rPr>
          <w:lang w:val="en-CA"/>
        </w:rPr>
      </w:pPr>
      <w:r>
        <w:rPr>
          <w:lang w:val="en-CA"/>
        </w:rPr>
        <w:t>Most people making comments at the public sessions were in favour of maintaining the three long term care homes at their current size and in their current community. This was specifically mentioned 31 times in the tracked feedback.</w:t>
      </w:r>
    </w:p>
    <w:p w14:paraId="128F52A2" w14:textId="4BAB9490" w:rsidR="00B414D4" w:rsidRDefault="00B414D4" w:rsidP="00B414D4">
      <w:pPr>
        <w:rPr>
          <w:lang w:val="en-CA"/>
        </w:rPr>
      </w:pPr>
      <w:r>
        <w:rPr>
          <w:lang w:val="en-CA"/>
        </w:rPr>
        <w:t>Additionally, there were a small number of direct comments received supporting the recommendation to build a 166-bed long term care home in Durham. A small number of direct comments supported adding 100 beds from Durham on to a new wing at Grey Gables while a small number of direct comments recommended building assisted living on to Grey Gables.</w:t>
      </w:r>
    </w:p>
    <w:p w14:paraId="1F61C501" w14:textId="7093A51F" w:rsidR="00B414D4" w:rsidRPr="00B414D4" w:rsidRDefault="00131517" w:rsidP="00B414D4">
      <w:pPr>
        <w:pStyle w:val="ListParagraph"/>
        <w:numPr>
          <w:ilvl w:val="0"/>
          <w:numId w:val="16"/>
        </w:numPr>
        <w:spacing w:after="0"/>
        <w:rPr>
          <w:b/>
          <w:lang w:val="en-CA"/>
        </w:rPr>
      </w:pPr>
      <w:r>
        <w:rPr>
          <w:b/>
          <w:lang w:val="en-CA"/>
        </w:rPr>
        <w:t>G</w:t>
      </w:r>
      <w:r w:rsidR="00B414D4" w:rsidRPr="00B414D4">
        <w:rPr>
          <w:b/>
          <w:lang w:val="en-CA"/>
        </w:rPr>
        <w:t>eographical distance between Markdale and Durham</w:t>
      </w:r>
    </w:p>
    <w:p w14:paraId="04CF7B07" w14:textId="6E910437" w:rsidR="00B414D4" w:rsidRDefault="00B414D4" w:rsidP="00B414D4">
      <w:pPr>
        <w:rPr>
          <w:lang w:val="en-CA"/>
        </w:rPr>
      </w:pPr>
      <w:r>
        <w:rPr>
          <w:lang w:val="en-CA"/>
        </w:rPr>
        <w:t>Of the comments received, 17 specifically raised concerns about the distance between Markdale and Durham. Commenters were concerned about the additional time spent driving, and issues with winter and night driving. Other comments spoke about the challenges of traveling further to visit family and feeling that long term care residents should stay in their home communities.</w:t>
      </w:r>
    </w:p>
    <w:p w14:paraId="26AF6FD8" w14:textId="7470AB03" w:rsidR="00B414D4" w:rsidRPr="00B414D4" w:rsidRDefault="00B414D4" w:rsidP="00B414D4">
      <w:pPr>
        <w:pStyle w:val="ListParagraph"/>
        <w:numPr>
          <w:ilvl w:val="0"/>
          <w:numId w:val="16"/>
        </w:numPr>
        <w:spacing w:after="0"/>
        <w:rPr>
          <w:b/>
          <w:lang w:val="en-CA"/>
        </w:rPr>
      </w:pPr>
      <w:r w:rsidRPr="00B414D4">
        <w:rPr>
          <w:b/>
          <w:lang w:val="en-CA"/>
        </w:rPr>
        <w:t>Opposition to privatization</w:t>
      </w:r>
    </w:p>
    <w:p w14:paraId="33628311" w14:textId="272ECD3F" w:rsidR="00B414D4" w:rsidRDefault="00B414D4" w:rsidP="00B414D4">
      <w:pPr>
        <w:rPr>
          <w:lang w:val="en-CA"/>
        </w:rPr>
      </w:pPr>
      <w:r>
        <w:rPr>
          <w:lang w:val="en-CA"/>
        </w:rPr>
        <w:t>The perception of privatization was another theme. In total, 10 direct comments were received in opposition of hiring a management company to oversee long term care operations, or opposing the sale of Grey Gables to a private operator to run as a private assisted living facility.</w:t>
      </w:r>
    </w:p>
    <w:p w14:paraId="654AF598" w14:textId="52492A51" w:rsidR="00B414D4" w:rsidRDefault="00B414D4" w:rsidP="00B414D4">
      <w:pPr>
        <w:rPr>
          <w:lang w:val="en-CA"/>
        </w:rPr>
      </w:pPr>
      <w:r>
        <w:rPr>
          <w:lang w:val="en-CA"/>
        </w:rPr>
        <w:t>Staff do not perceive the recommendation</w:t>
      </w:r>
      <w:r w:rsidR="00783CFE">
        <w:rPr>
          <w:lang w:val="en-CA"/>
        </w:rPr>
        <w:t>s</w:t>
      </w:r>
      <w:r>
        <w:rPr>
          <w:lang w:val="en-CA"/>
        </w:rPr>
        <w:t xml:space="preserve"> as a form of privatization. </w:t>
      </w:r>
      <w:r w:rsidR="00783CFE">
        <w:rPr>
          <w:lang w:val="en-CA"/>
        </w:rPr>
        <w:t>The staff of the homes will continue to be Grey County employees</w:t>
      </w:r>
      <w:r w:rsidR="005862F1">
        <w:rPr>
          <w:lang w:val="en-CA"/>
        </w:rPr>
        <w:t xml:space="preserve"> and the management company would assist the homes in meeting compliance and Council in meeting their </w:t>
      </w:r>
      <w:r w:rsidR="00E81076">
        <w:rPr>
          <w:lang w:val="en-CA"/>
        </w:rPr>
        <w:t>legislated</w:t>
      </w:r>
      <w:r w:rsidR="005862F1">
        <w:rPr>
          <w:lang w:val="en-CA"/>
        </w:rPr>
        <w:t xml:space="preserve"> responsibility</w:t>
      </w:r>
      <w:r w:rsidR="00783CFE">
        <w:rPr>
          <w:lang w:val="en-CA"/>
        </w:rPr>
        <w:t xml:space="preserve">. </w:t>
      </w:r>
      <w:r>
        <w:rPr>
          <w:lang w:val="en-CA"/>
        </w:rPr>
        <w:t>If a 166-bed home is built, no beds will be lost and all services will be maintained. The sale of the Grey Gables building to a private assisted living operator is meant to attract additional services for seniors to the Markdale area, not to privatize services already provided.</w:t>
      </w:r>
    </w:p>
    <w:p w14:paraId="5A18489A" w14:textId="4A918173" w:rsidR="00B414D4" w:rsidRPr="00131517" w:rsidRDefault="00B414D4" w:rsidP="00131517">
      <w:pPr>
        <w:pStyle w:val="ListParagraph"/>
        <w:numPr>
          <w:ilvl w:val="0"/>
          <w:numId w:val="16"/>
        </w:numPr>
        <w:spacing w:after="0"/>
        <w:rPr>
          <w:b/>
          <w:lang w:val="en-CA"/>
        </w:rPr>
      </w:pPr>
      <w:r w:rsidRPr="00131517">
        <w:rPr>
          <w:b/>
          <w:lang w:val="en-CA"/>
        </w:rPr>
        <w:t>Need for a social and economic impact study</w:t>
      </w:r>
    </w:p>
    <w:p w14:paraId="70A63181" w14:textId="1ED602C6" w:rsidR="00B414D4" w:rsidRPr="00783CFE" w:rsidRDefault="00B414D4" w:rsidP="00B414D4">
      <w:pPr>
        <w:rPr>
          <w:b/>
          <w:lang w:val="en-CA"/>
        </w:rPr>
      </w:pPr>
      <w:r>
        <w:rPr>
          <w:lang w:val="en-CA"/>
        </w:rPr>
        <w:t xml:space="preserve">A small number of comments have been raised about the need for a social and economic impact study of the effects of combining the long term care homes. Some of </w:t>
      </w:r>
      <w:r>
        <w:rPr>
          <w:lang w:val="en-CA"/>
        </w:rPr>
        <w:lastRenderedPageBreak/>
        <w:t>these questions will be addressed by the CBRE report. Others will require council direction to pursue.</w:t>
      </w:r>
    </w:p>
    <w:p w14:paraId="32C621D8" w14:textId="676B8601" w:rsidR="00B414D4" w:rsidRPr="00131517" w:rsidRDefault="00B414D4" w:rsidP="00131517">
      <w:pPr>
        <w:pStyle w:val="ListParagraph"/>
        <w:numPr>
          <w:ilvl w:val="0"/>
          <w:numId w:val="16"/>
        </w:numPr>
        <w:spacing w:after="0"/>
        <w:rPr>
          <w:lang w:val="en-CA"/>
        </w:rPr>
      </w:pPr>
      <w:r w:rsidRPr="00783CFE">
        <w:rPr>
          <w:b/>
          <w:lang w:val="en-CA"/>
        </w:rPr>
        <w:t>Uncertainty fo</w:t>
      </w:r>
      <w:r w:rsidRPr="00131517">
        <w:rPr>
          <w:b/>
          <w:lang w:val="en-CA"/>
        </w:rPr>
        <w:t>r tenants</w:t>
      </w:r>
    </w:p>
    <w:p w14:paraId="1335319C" w14:textId="77777777" w:rsidR="00C117A5" w:rsidRDefault="00B414D4" w:rsidP="00131517">
      <w:pPr>
        <w:rPr>
          <w:lang w:val="en-CA"/>
        </w:rPr>
      </w:pPr>
      <w:r>
        <w:rPr>
          <w:lang w:val="en-CA"/>
        </w:rPr>
        <w:t xml:space="preserve">There was also concern raised for the current tenants of space at Grey Gables and Rockwood Terrace. </w:t>
      </w:r>
    </w:p>
    <w:p w14:paraId="3FDE9DDE" w14:textId="71567871" w:rsidR="00131517" w:rsidRDefault="00131517" w:rsidP="00131517">
      <w:pPr>
        <w:rPr>
          <w:lang w:val="en-CA"/>
        </w:rPr>
      </w:pPr>
      <w:r>
        <w:rPr>
          <w:lang w:val="en-CA"/>
        </w:rPr>
        <w:t>I</w:t>
      </w:r>
      <w:r w:rsidR="00B414D4">
        <w:rPr>
          <w:lang w:val="en-CA"/>
        </w:rPr>
        <w:t>t is expected that</w:t>
      </w:r>
      <w:r>
        <w:rPr>
          <w:lang w:val="en-CA"/>
        </w:rPr>
        <w:t xml:space="preserve"> a potential purchaser </w:t>
      </w:r>
      <w:r w:rsidR="00783CFE">
        <w:rPr>
          <w:lang w:val="en-CA"/>
        </w:rPr>
        <w:t>will wish to</w:t>
      </w:r>
      <w:r>
        <w:rPr>
          <w:lang w:val="en-CA"/>
        </w:rPr>
        <w:t xml:space="preserve"> maintain tenants and</w:t>
      </w:r>
      <w:r w:rsidR="00B414D4">
        <w:rPr>
          <w:lang w:val="en-CA"/>
        </w:rPr>
        <w:t xml:space="preserve"> rental opportunities will continue</w:t>
      </w:r>
      <w:r>
        <w:rPr>
          <w:lang w:val="en-CA"/>
        </w:rPr>
        <w:t>. This will be addressed in the CBRE report</w:t>
      </w:r>
      <w:r w:rsidR="00B414D4">
        <w:rPr>
          <w:lang w:val="en-CA"/>
        </w:rPr>
        <w:t xml:space="preserve">. </w:t>
      </w:r>
    </w:p>
    <w:p w14:paraId="7C79DB2F" w14:textId="77777777" w:rsidR="003F2BAB" w:rsidRDefault="003F2BAB" w:rsidP="00B661A9">
      <w:pPr>
        <w:pStyle w:val="ListParagraph"/>
        <w:numPr>
          <w:ilvl w:val="0"/>
          <w:numId w:val="16"/>
        </w:numPr>
        <w:ind w:hanging="436"/>
        <w:rPr>
          <w:b/>
          <w:lang w:val="en-CA"/>
        </w:rPr>
      </w:pPr>
      <w:r w:rsidRPr="003F2BAB">
        <w:rPr>
          <w:b/>
          <w:lang w:val="en-CA"/>
        </w:rPr>
        <w:t>LHIN Boundaries, Service Planning, Availability of Beds</w:t>
      </w:r>
    </w:p>
    <w:p w14:paraId="4F16E9FF" w14:textId="19381EBC" w:rsidR="002B617C" w:rsidRPr="002B617C" w:rsidRDefault="00BE50FF" w:rsidP="002B617C">
      <w:pPr>
        <w:rPr>
          <w:lang w:val="en-CA"/>
        </w:rPr>
      </w:pPr>
      <w:r>
        <w:rPr>
          <w:lang w:val="en-CA"/>
        </w:rPr>
        <w:t>Grey County is served by three</w:t>
      </w:r>
      <w:r w:rsidR="002B617C" w:rsidRPr="002B617C">
        <w:rPr>
          <w:lang w:val="en-CA"/>
        </w:rPr>
        <w:t xml:space="preserve"> LHINs.  While the majority of the County is within the South West LHIN, portions </w:t>
      </w:r>
      <w:r w:rsidR="002B617C" w:rsidRPr="00D92B0D">
        <w:rPr>
          <w:lang w:val="en-CA"/>
        </w:rPr>
        <w:t>of Southgate, West Grey, Grey Highlands and the Town of Blue Mountains</w:t>
      </w:r>
      <w:r w:rsidR="002B617C" w:rsidRPr="002B617C">
        <w:rPr>
          <w:lang w:val="en-CA"/>
        </w:rPr>
        <w:t xml:space="preserve"> are located within the boundaries of the Waterloo Wellington and the North Simcoe Muskoka LHINs.  </w:t>
      </w:r>
    </w:p>
    <w:p w14:paraId="6AA37FC6" w14:textId="5563B0C0" w:rsidR="002B617C" w:rsidRPr="002B617C" w:rsidRDefault="002B617C" w:rsidP="002B617C">
      <w:pPr>
        <w:rPr>
          <w:lang w:val="en-CA"/>
        </w:rPr>
      </w:pPr>
      <w:r w:rsidRPr="002B617C">
        <w:rPr>
          <w:lang w:val="en-CA"/>
        </w:rPr>
        <w:t xml:space="preserve">For the purposes of determining </w:t>
      </w:r>
      <w:r w:rsidR="00450154">
        <w:rPr>
          <w:lang w:val="en-CA"/>
        </w:rPr>
        <w:t xml:space="preserve">long term care </w:t>
      </w:r>
      <w:r w:rsidRPr="002B617C">
        <w:rPr>
          <w:lang w:val="en-CA"/>
        </w:rPr>
        <w:t>service availability, the southwe</w:t>
      </w:r>
      <w:r w:rsidR="00450154">
        <w:rPr>
          <w:lang w:val="en-CA"/>
        </w:rPr>
        <w:t>st LHIN confirmed that they took</w:t>
      </w:r>
      <w:r w:rsidRPr="002B617C">
        <w:rPr>
          <w:lang w:val="en-CA"/>
        </w:rPr>
        <w:t xml:space="preserve"> into account </w:t>
      </w:r>
      <w:r w:rsidR="00450154">
        <w:rPr>
          <w:lang w:val="en-CA"/>
        </w:rPr>
        <w:t>the</w:t>
      </w:r>
      <w:r w:rsidRPr="002B617C">
        <w:rPr>
          <w:lang w:val="en-CA"/>
        </w:rPr>
        <w:t xml:space="preserve"> population within the prescribed radius of the </w:t>
      </w:r>
      <w:r w:rsidR="00450154">
        <w:rPr>
          <w:lang w:val="en-CA"/>
        </w:rPr>
        <w:t>facility even though that radius might cross a boundary</w:t>
      </w:r>
      <w:r w:rsidRPr="002B617C">
        <w:rPr>
          <w:lang w:val="en-CA"/>
        </w:rPr>
        <w:t>. For the municipalities with residents who reside in an area served by another LHIN, (i.e. Dundalk</w:t>
      </w:r>
      <w:r w:rsidR="00016C05">
        <w:rPr>
          <w:lang w:val="en-CA"/>
        </w:rPr>
        <w:t xml:space="preserve"> and the</w:t>
      </w:r>
      <w:r w:rsidRPr="002B617C">
        <w:rPr>
          <w:lang w:val="en-CA"/>
        </w:rPr>
        <w:t xml:space="preserve"> Waterloo Wellington LHIN) the population base is reflected in the respective LHINs data which is used for system planning and establishes the flow of funding for health care services within that LHIN.  </w:t>
      </w:r>
    </w:p>
    <w:p w14:paraId="1A80B3DD" w14:textId="10B58C94" w:rsidR="00131517" w:rsidRPr="00131517" w:rsidRDefault="00131517" w:rsidP="00131517">
      <w:pPr>
        <w:pStyle w:val="ListParagraph"/>
        <w:numPr>
          <w:ilvl w:val="0"/>
          <w:numId w:val="16"/>
        </w:numPr>
        <w:rPr>
          <w:b/>
          <w:lang w:val="en-CA"/>
        </w:rPr>
      </w:pPr>
      <w:r w:rsidRPr="00131517">
        <w:rPr>
          <w:b/>
          <w:lang w:val="en-CA"/>
        </w:rPr>
        <w:t>Positive feedback about the homes</w:t>
      </w:r>
    </w:p>
    <w:p w14:paraId="5680E739" w14:textId="77777777" w:rsidR="00131517" w:rsidRDefault="00131517" w:rsidP="00131517">
      <w:pPr>
        <w:rPr>
          <w:lang w:val="en-CA"/>
        </w:rPr>
      </w:pPr>
      <w:r>
        <w:rPr>
          <w:lang w:val="en-CA"/>
        </w:rPr>
        <w:t xml:space="preserve">Many positive comments have been received about the condition of our homes and the quality of care provided by our staff. </w:t>
      </w:r>
    </w:p>
    <w:p w14:paraId="6E3BE63A" w14:textId="617A684B" w:rsidR="00FD4BEE" w:rsidRDefault="00FD4BEE" w:rsidP="00FD4BEE">
      <w:pPr>
        <w:pStyle w:val="Heading2"/>
        <w:keepNext w:val="0"/>
        <w:widowControl w:val="0"/>
      </w:pPr>
      <w:r>
        <w:t>Long Term Care</w:t>
      </w:r>
      <w:r w:rsidR="00783CFE">
        <w:t xml:space="preserve"> Service Delivery</w:t>
      </w:r>
      <w:r w:rsidR="004C732E">
        <w:t xml:space="preserve"> Context</w:t>
      </w:r>
    </w:p>
    <w:p w14:paraId="37C75039" w14:textId="3E1900B5" w:rsidR="000903BC" w:rsidRDefault="00783CFE" w:rsidP="00411BAB">
      <w:r>
        <w:t xml:space="preserve">One of the frequent comments heard in consultation was the desire </w:t>
      </w:r>
      <w:r w:rsidR="000903BC">
        <w:t xml:space="preserve">to maintain the status quo. People spoke of the good experiences their family members had enjoyed in the homes and their concerns about residents moving from a small to a larger and potentially more institutional setting. </w:t>
      </w:r>
    </w:p>
    <w:p w14:paraId="4D0BAA12" w14:textId="37509CB6" w:rsidR="00411BAB" w:rsidRDefault="000903BC" w:rsidP="00411BAB">
      <w:r>
        <w:t xml:space="preserve">There have been significant changes in the long term care sector in the past </w:t>
      </w:r>
      <w:r w:rsidR="004C732E">
        <w:t>decade</w:t>
      </w:r>
      <w:r>
        <w:t xml:space="preserve">. For reasons stated below, it is anticipated that the rate of change will continue. </w:t>
      </w:r>
      <w:r w:rsidR="009F2FDF">
        <w:t>Long term care</w:t>
      </w:r>
      <w:r w:rsidR="00411BAB">
        <w:t xml:space="preserve"> is highly regulated</w:t>
      </w:r>
      <w:r w:rsidR="00AD4CFC">
        <w:t xml:space="preserve"> by the province</w:t>
      </w:r>
      <w:r w:rsidR="00411BAB">
        <w:t xml:space="preserve"> and </w:t>
      </w:r>
      <w:r w:rsidR="00AD4CFC">
        <w:t>c</w:t>
      </w:r>
      <w:r w:rsidR="00411BAB">
        <w:t xml:space="preserve">hanges in the Long Term Care Homes Act, </w:t>
      </w:r>
      <w:r w:rsidR="00C117A5">
        <w:t xml:space="preserve">implementation of </w:t>
      </w:r>
      <w:r w:rsidR="004C732E">
        <w:t>the Aging at Home strategy</w:t>
      </w:r>
      <w:r w:rsidR="00411BAB">
        <w:t xml:space="preserve">, </w:t>
      </w:r>
      <w:r w:rsidR="00016C05">
        <w:t xml:space="preserve">a focus on reducing the number of Alternative Level of Care (ALC) patients and the </w:t>
      </w:r>
      <w:r w:rsidR="00C117A5">
        <w:t xml:space="preserve">trend </w:t>
      </w:r>
      <w:r w:rsidR="00B661A9">
        <w:t>of shorter</w:t>
      </w:r>
      <w:r w:rsidR="00411BAB">
        <w:t xml:space="preserve"> hospital stays</w:t>
      </w:r>
      <w:r w:rsidR="005862F1">
        <w:t>,</w:t>
      </w:r>
      <w:r w:rsidR="00C117A5">
        <w:t xml:space="preserve"> have</w:t>
      </w:r>
      <w:r w:rsidR="00F83A4D">
        <w:t xml:space="preserve"> </w:t>
      </w:r>
      <w:r w:rsidR="005862F1">
        <w:t xml:space="preserve">all </w:t>
      </w:r>
      <w:r w:rsidR="00F83A4D">
        <w:t xml:space="preserve">contributed to a much higher </w:t>
      </w:r>
      <w:r w:rsidR="00411BAB">
        <w:t xml:space="preserve">acuity </w:t>
      </w:r>
      <w:r w:rsidR="00C117A5">
        <w:t>of</w:t>
      </w:r>
      <w:r w:rsidR="00411BAB">
        <w:t xml:space="preserve"> the residents moving into long </w:t>
      </w:r>
      <w:r w:rsidR="00411BAB">
        <w:lastRenderedPageBreak/>
        <w:t>term care</w:t>
      </w:r>
      <w:r w:rsidR="00C117A5">
        <w:t>. L</w:t>
      </w:r>
      <w:r w:rsidR="00411BAB">
        <w:t xml:space="preserve">ong term care homes have had to change and will continue to change to meet the needs of </w:t>
      </w:r>
      <w:r w:rsidR="00F83A4D">
        <w:t>an older</w:t>
      </w:r>
      <w:r w:rsidR="00C117A5">
        <w:t xml:space="preserve"> </w:t>
      </w:r>
      <w:r w:rsidR="00411BAB">
        <w:t>population</w:t>
      </w:r>
      <w:r w:rsidR="00F83A4D">
        <w:t xml:space="preserve"> with much more</w:t>
      </w:r>
      <w:r w:rsidR="00C5253F">
        <w:t xml:space="preserve"> serious</w:t>
      </w:r>
      <w:r w:rsidR="00F83A4D">
        <w:t xml:space="preserve"> health issues</w:t>
      </w:r>
      <w:r w:rsidR="00C117A5">
        <w:t xml:space="preserve">. </w:t>
      </w:r>
    </w:p>
    <w:p w14:paraId="510566D5" w14:textId="0C23EB05" w:rsidR="002F1CEC" w:rsidRDefault="002F1CEC" w:rsidP="002F1CEC">
      <w:r>
        <w:t>The average age of a resident living in a Grey County long term care home is 85 years with 86% of the residents being 75 and older</w:t>
      </w:r>
      <w:r w:rsidR="00854AFD">
        <w:t>.</w:t>
      </w:r>
      <w:r>
        <w:t xml:space="preserve"> </w:t>
      </w:r>
      <w:r w:rsidR="00854AFD">
        <w:t>With people staying in the</w:t>
      </w:r>
      <w:r w:rsidR="004C732E">
        <w:t>ir homes or in an assisted living facility</w:t>
      </w:r>
      <w:r w:rsidR="00854AFD">
        <w:t xml:space="preserve"> longer, and moving into long term care with more advanced health conditions, </w:t>
      </w:r>
      <w:r>
        <w:t xml:space="preserve">the average length of stay </w:t>
      </w:r>
      <w:r w:rsidR="00F83A4D">
        <w:t xml:space="preserve">in long term care </w:t>
      </w:r>
      <w:r>
        <w:t>has declined</w:t>
      </w:r>
      <w:r w:rsidR="00F83A4D">
        <w:t xml:space="preserve"> as noted in the table below</w:t>
      </w:r>
      <w:r w:rsidR="00A03B2E">
        <w:t>.</w:t>
      </w:r>
    </w:p>
    <w:p w14:paraId="5746E9D8" w14:textId="3378A87B" w:rsidR="002F1CEC" w:rsidRDefault="002F1CEC" w:rsidP="002F1CEC">
      <w:pPr>
        <w:jc w:val="center"/>
      </w:pPr>
      <w:r>
        <w:rPr>
          <w:noProof/>
          <w:lang w:val="en-CA" w:eastAsia="en-CA"/>
        </w:rPr>
        <w:drawing>
          <wp:inline distT="0" distB="0" distL="0" distR="0" wp14:anchorId="36E44463" wp14:editId="386219B4">
            <wp:extent cx="4021667" cy="1794933"/>
            <wp:effectExtent l="0" t="0" r="17145" b="15240"/>
            <wp:docPr id="2" name="Chart 2" descr="Length of stay in grey county homes by average number of years. In 2010, 3.66. In 2012, 3.54. In 2014, 2.8. In 2016,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23363D" w14:textId="51429EAB" w:rsidR="00F83A4D" w:rsidRDefault="00F83A4D" w:rsidP="001D589E">
      <w:r>
        <w:t xml:space="preserve">Placement into a long term care </w:t>
      </w:r>
      <w:r w:rsidR="00A2524F">
        <w:t>home</w:t>
      </w:r>
      <w:r>
        <w:t xml:space="preserve"> is determined by the Community Care Access Centre (now part of the LHIN). Those in need of a bed in long term </w:t>
      </w:r>
      <w:r w:rsidR="00BE50FF">
        <w:t>care are asked to choose up to five</w:t>
      </w:r>
      <w:r>
        <w:t xml:space="preserve"> </w:t>
      </w:r>
      <w:r w:rsidR="00A2524F">
        <w:t>homes</w:t>
      </w:r>
      <w:r w:rsidR="002B74DE">
        <w:t xml:space="preserve"> and </w:t>
      </w:r>
      <w:r w:rsidR="00A2524F">
        <w:t xml:space="preserve">they </w:t>
      </w:r>
      <w:r w:rsidR="002B74DE">
        <w:t>are notified when a space becomes available.</w:t>
      </w:r>
      <w:r w:rsidR="00A2524F">
        <w:t xml:space="preserve"> </w:t>
      </w:r>
      <w:r w:rsidR="002B74DE">
        <w:t xml:space="preserve">People choose </w:t>
      </w:r>
      <w:r w:rsidR="00016C05">
        <w:t>a home</w:t>
      </w:r>
      <w:r w:rsidR="002B74DE">
        <w:t xml:space="preserve"> for a variety of reasons </w:t>
      </w:r>
      <w:r w:rsidR="002B74DE" w:rsidRPr="00A2524F">
        <w:t>including</w:t>
      </w:r>
      <w:r w:rsidR="002B74DE">
        <w:t xml:space="preserve"> proximity to family or friends, </w:t>
      </w:r>
      <w:r w:rsidR="00A2524F">
        <w:t>the “feel” of the home, quality of care, available amenities and services.</w:t>
      </w:r>
      <w:r w:rsidR="002B74DE">
        <w:t xml:space="preserve"> </w:t>
      </w:r>
    </w:p>
    <w:p w14:paraId="7D259C1D" w14:textId="472C0F6B" w:rsidR="001D589E" w:rsidRDefault="002B74DE" w:rsidP="001D589E">
      <w:r>
        <w:t xml:space="preserve">In </w:t>
      </w:r>
      <w:r w:rsidR="005862F1">
        <w:t>an attempt to understand the relationship between the home in which a resident resides and the proximity to the</w:t>
      </w:r>
      <w:r w:rsidR="00CD4F86">
        <w:t xml:space="preserve"> person identified as their </w:t>
      </w:r>
      <w:r w:rsidR="001D589E">
        <w:t>“first</w:t>
      </w:r>
      <w:r w:rsidR="00CD4F86">
        <w:t>/</w:t>
      </w:r>
      <w:r w:rsidR="005862F1">
        <w:t>emergency”</w:t>
      </w:r>
      <w:r>
        <w:t xml:space="preserve"> contact</w:t>
      </w:r>
      <w:r w:rsidR="00CD4F86">
        <w:t>, data</w:t>
      </w:r>
      <w:r w:rsidR="005862F1">
        <w:t xml:space="preserve"> was reviewed</w:t>
      </w:r>
      <w:r w:rsidR="00CD4F86">
        <w:t xml:space="preserve"> to identify those with </w:t>
      </w:r>
      <w:r>
        <w:t>the same city/t</w:t>
      </w:r>
      <w:r w:rsidR="001D589E">
        <w:t xml:space="preserve">own </w:t>
      </w:r>
      <w:r w:rsidR="00CD4F86">
        <w:t xml:space="preserve">listed </w:t>
      </w:r>
      <w:r w:rsidR="001D589E">
        <w:t>as the long term care home.</w:t>
      </w:r>
      <w:r w:rsidR="00F95945">
        <w:t xml:space="preserve"> At Lee Manor, 41% of the resident</w:t>
      </w:r>
      <w:r w:rsidR="00CD4F86">
        <w:t>s</w:t>
      </w:r>
      <w:r w:rsidR="00F95945">
        <w:t xml:space="preserve"> had a contact listed with an Owen Sound address. Grey Gables and Rockwood Terrace had 29% and 24% in their respective communities. </w:t>
      </w:r>
    </w:p>
    <w:p w14:paraId="14CF812B" w14:textId="7F1F54A4" w:rsidR="00016C05" w:rsidRDefault="00FB7C1E" w:rsidP="001D589E">
      <w:r>
        <w:t>L</w:t>
      </w:r>
      <w:r w:rsidR="002B74DE">
        <w:t xml:space="preserve">ong term care </w:t>
      </w:r>
      <w:r w:rsidR="00C5253F">
        <w:t xml:space="preserve">homes are </w:t>
      </w:r>
      <w:r>
        <w:t>evolving into chronic care hospital</w:t>
      </w:r>
      <w:r w:rsidR="00C5253F">
        <w:t>s</w:t>
      </w:r>
      <w:r w:rsidR="00CD4F86">
        <w:t>.</w:t>
      </w:r>
      <w:r>
        <w:t xml:space="preserve"> We are providing care for </w:t>
      </w:r>
      <w:r w:rsidR="004C732E">
        <w:t xml:space="preserve">residents with </w:t>
      </w:r>
      <w:r w:rsidR="0012378C">
        <w:t xml:space="preserve">medical </w:t>
      </w:r>
      <w:r w:rsidR="004C732E">
        <w:t>needs</w:t>
      </w:r>
      <w:r w:rsidR="00CD4F86">
        <w:t xml:space="preserve"> more complex</w:t>
      </w:r>
      <w:r w:rsidR="004C732E">
        <w:t xml:space="preserve"> than ever before. </w:t>
      </w:r>
      <w:r w:rsidR="0012378C">
        <w:t>We are currently experiencing the admission of</w:t>
      </w:r>
      <w:r w:rsidR="004C732E">
        <w:t xml:space="preserve"> residents with advanced wounds, </w:t>
      </w:r>
      <w:r w:rsidR="0012378C">
        <w:t xml:space="preserve">PICC lines (peripherally inserted central </w:t>
      </w:r>
      <w:r w:rsidR="00B578BB">
        <w:t>catheter</w:t>
      </w:r>
      <w:r w:rsidR="0012378C">
        <w:t xml:space="preserve">), IV (intravenous therapy) and </w:t>
      </w:r>
      <w:r w:rsidR="00B578BB">
        <w:t>dialysis</w:t>
      </w:r>
      <w:r w:rsidR="004C732E">
        <w:t xml:space="preserve"> </w:t>
      </w:r>
      <w:r w:rsidR="0012378C">
        <w:t xml:space="preserve">and expect mechanical ventilation in the future. </w:t>
      </w:r>
      <w:r w:rsidR="00016C05">
        <w:t>S</w:t>
      </w:r>
      <w:r w:rsidR="00016C05" w:rsidRPr="0011303D">
        <w:t xml:space="preserve">pecialized equipment is required </w:t>
      </w:r>
      <w:r w:rsidR="00016C05">
        <w:t>to provide the care that residents need and in a smaller home, utilization of these assets is less likely to be optimized and t</w:t>
      </w:r>
      <w:r w:rsidR="00016C05" w:rsidRPr="0011303D">
        <w:t>he cost needs to be absorbed over a smaller budget.</w:t>
      </w:r>
      <w:r w:rsidR="00016C05">
        <w:t xml:space="preserve"> </w:t>
      </w:r>
      <w:r w:rsidR="0012378C">
        <w:t>The</w:t>
      </w:r>
      <w:r>
        <w:t xml:space="preserve"> provision of this level of care has</w:t>
      </w:r>
      <w:r w:rsidR="00E01D14">
        <w:t xml:space="preserve"> an additional complexity when </w:t>
      </w:r>
      <w:r>
        <w:t xml:space="preserve">the home is </w:t>
      </w:r>
      <w:r w:rsidR="00E01D14">
        <w:t xml:space="preserve">also </w:t>
      </w:r>
      <w:r>
        <w:t xml:space="preserve">required to </w:t>
      </w:r>
      <w:r w:rsidR="00E01D14">
        <w:t>provid</w:t>
      </w:r>
      <w:r>
        <w:t>e</w:t>
      </w:r>
      <w:r w:rsidR="00E01D14">
        <w:t xml:space="preserve"> care for people with responsi</w:t>
      </w:r>
      <w:r>
        <w:t>v</w:t>
      </w:r>
      <w:r w:rsidR="00E01D14">
        <w:t>e behaviours and advanced dementia</w:t>
      </w:r>
      <w:r>
        <w:t xml:space="preserve"> within the </w:t>
      </w:r>
      <w:r>
        <w:lastRenderedPageBreak/>
        <w:t>same setting</w:t>
      </w:r>
      <w:r w:rsidR="00E01D14">
        <w:t xml:space="preserve">. </w:t>
      </w:r>
      <w:r w:rsidR="00167FD5">
        <w:t>Th</w:t>
      </w:r>
      <w:r>
        <w:t>is has, and will continue to require</w:t>
      </w:r>
      <w:r w:rsidR="00167FD5">
        <w:t xml:space="preserve"> administration and staffing within the homes </w:t>
      </w:r>
      <w:r>
        <w:t>to</w:t>
      </w:r>
      <w:r w:rsidR="00167FD5">
        <w:t xml:space="preserve"> </w:t>
      </w:r>
      <w:r w:rsidR="00C5253F">
        <w:t xml:space="preserve">make </w:t>
      </w:r>
      <w:r w:rsidR="00167FD5">
        <w:t>adjust</w:t>
      </w:r>
      <w:r w:rsidR="00C5253F">
        <w:t>ments.</w:t>
      </w:r>
      <w:r w:rsidR="00016C05">
        <w:t xml:space="preserve"> </w:t>
      </w:r>
    </w:p>
    <w:p w14:paraId="1B6D022A" w14:textId="25B1E4E3" w:rsidR="005867F7" w:rsidRDefault="00031238" w:rsidP="001D589E">
      <w:r>
        <w:t xml:space="preserve">The size of a long term care home </w:t>
      </w:r>
      <w:r w:rsidR="00FB7C1E">
        <w:t xml:space="preserve">should </w:t>
      </w:r>
      <w:r>
        <w:t xml:space="preserve">not impact the satisfaction or quality of life experienced by the resident living in the home. </w:t>
      </w:r>
      <w:r w:rsidR="00FB7C1E">
        <w:t>Standa</w:t>
      </w:r>
      <w:r w:rsidR="00CD4F86">
        <w:t>rds</w:t>
      </w:r>
      <w:r w:rsidR="00016C05">
        <w:t>,</w:t>
      </w:r>
      <w:r w:rsidR="00CD4F86">
        <w:t xml:space="preserve"> which must be met</w:t>
      </w:r>
      <w:r w:rsidR="00016C05">
        <w:t>,</w:t>
      </w:r>
      <w:r w:rsidR="00CD4F86">
        <w:t xml:space="preserve"> are set by</w:t>
      </w:r>
      <w:r w:rsidR="00FB7C1E">
        <w:t xml:space="preserve"> </w:t>
      </w:r>
      <w:r w:rsidR="00B578BB">
        <w:t>legislation</w:t>
      </w:r>
      <w:r w:rsidR="00FB7C1E">
        <w:t xml:space="preserve"> and t</w:t>
      </w:r>
      <w:r>
        <w:t xml:space="preserve">he new </w:t>
      </w:r>
      <w:r w:rsidR="00FB7C1E">
        <w:t xml:space="preserve">build </w:t>
      </w:r>
      <w:r>
        <w:t>design standards address dining, bathing and social space for individual resident home areas. Consist</w:t>
      </w:r>
      <w:r w:rsidR="005867F7">
        <w:t>ency of care is important for many quality outcomes and resident satisfaction</w:t>
      </w:r>
      <w:r w:rsidR="00FB7C1E">
        <w:t xml:space="preserve"> and staffing patterns are developed with this i</w:t>
      </w:r>
      <w:r w:rsidR="005867F7">
        <w:t xml:space="preserve">n mind. </w:t>
      </w:r>
    </w:p>
    <w:p w14:paraId="6E0D6F96" w14:textId="02FC8733" w:rsidR="00E01D14" w:rsidRDefault="00031238" w:rsidP="001D589E">
      <w:r>
        <w:t xml:space="preserve">Over the past four years, we have focused </w:t>
      </w:r>
      <w:r w:rsidR="00016C05">
        <w:t xml:space="preserve">on </w:t>
      </w:r>
      <w:r>
        <w:t>initiatives to support an improved quality of life for the residents. Culture change initiatives</w:t>
      </w:r>
      <w:r w:rsidR="005867F7">
        <w:t>,</w:t>
      </w:r>
      <w:r>
        <w:t xml:space="preserve"> including </w:t>
      </w:r>
      <w:r w:rsidR="00016C05">
        <w:t xml:space="preserve">our </w:t>
      </w:r>
      <w:r>
        <w:t xml:space="preserve">Colour It </w:t>
      </w:r>
      <w:r w:rsidR="005867F7">
        <w:t>Standards and P</w:t>
      </w:r>
      <w:r>
        <w:t>romise</w:t>
      </w:r>
      <w:r w:rsidR="005867F7">
        <w:t>,</w:t>
      </w:r>
      <w:r>
        <w:t xml:space="preserve"> were implemented and we added a question</w:t>
      </w:r>
      <w:r w:rsidR="00FB7C1E">
        <w:t xml:space="preserve"> to the annual resident survey:</w:t>
      </w:r>
      <w:r>
        <w:t xml:space="preserve"> Would you recommend this home to others? Each of the homes </w:t>
      </w:r>
      <w:r w:rsidR="00B578BB">
        <w:t>has</w:t>
      </w:r>
      <w:r>
        <w:t xml:space="preserve"> had remarkable </w:t>
      </w:r>
      <w:r w:rsidR="005867F7">
        <w:t>success</w:t>
      </w:r>
      <w:r w:rsidR="00FB7C1E">
        <w:t xml:space="preserve"> with the culture change initiatives as</w:t>
      </w:r>
      <w:r w:rsidR="005867F7">
        <w:t xml:space="preserve"> </w:t>
      </w:r>
      <w:r w:rsidR="00FB7C1E">
        <w:t xml:space="preserve">illustrated </w:t>
      </w:r>
      <w:r w:rsidR="005867F7">
        <w:t>in the following chart.</w:t>
      </w:r>
      <w:r>
        <w:t xml:space="preserve"> </w:t>
      </w:r>
    </w:p>
    <w:p w14:paraId="2E54D6C9" w14:textId="196D6BB4" w:rsidR="00E01D14" w:rsidRDefault="00E01D14" w:rsidP="0015269C">
      <w:pPr>
        <w:jc w:val="center"/>
      </w:pPr>
      <w:r>
        <w:rPr>
          <w:noProof/>
          <w:lang w:val="en-CA" w:eastAsia="en-CA"/>
        </w:rPr>
        <w:drawing>
          <wp:inline distT="0" distB="0" distL="0" distR="0" wp14:anchorId="140D968D" wp14:editId="5CA39B99">
            <wp:extent cx="4478867" cy="2734733"/>
            <wp:effectExtent l="0" t="0" r="17145" b="27940"/>
            <wp:docPr id="4" name="Chart 4" descr="Chart showing how likely homes are to be recomend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16316D" w14:textId="1C82135A" w:rsidR="00FD4BEE" w:rsidRDefault="00FD4BEE" w:rsidP="00886FDB">
      <w:pPr>
        <w:pStyle w:val="Heading2"/>
      </w:pPr>
      <w:r>
        <w:t>Human Resources</w:t>
      </w:r>
      <w:r w:rsidR="009A0691">
        <w:t xml:space="preserve"> – People Caring for People</w:t>
      </w:r>
    </w:p>
    <w:p w14:paraId="06244392" w14:textId="4AAD1CEE" w:rsidR="00EF6089" w:rsidRDefault="00167FD5" w:rsidP="00332362">
      <w:r>
        <w:t xml:space="preserve">As the licensee responsible to the Ministry of Health and Long Term Care for compliance with all aspects of the Long Term Care Homes Act, Grey County must ensure </w:t>
      </w:r>
      <w:r w:rsidR="0062644F">
        <w:t>specific</w:t>
      </w:r>
      <w:r w:rsidR="00EF6089">
        <w:t xml:space="preserve"> staffing requirements</w:t>
      </w:r>
      <w:r w:rsidR="00A7129C">
        <w:t xml:space="preserve"> </w:t>
      </w:r>
      <w:r>
        <w:t xml:space="preserve">are met </w:t>
      </w:r>
      <w:r w:rsidR="00A7129C">
        <w:t>including qualifications and minimum hours for the following positions.</w:t>
      </w:r>
      <w:r w:rsidR="00EF6089">
        <w:t xml:space="preserve"> </w:t>
      </w:r>
    </w:p>
    <w:p w14:paraId="1960ADEF" w14:textId="77777777" w:rsidR="00A7129C" w:rsidRDefault="00EF6089" w:rsidP="00A7129C">
      <w:pPr>
        <w:pStyle w:val="ListParagraph"/>
        <w:numPr>
          <w:ilvl w:val="0"/>
          <w:numId w:val="14"/>
        </w:numPr>
      </w:pPr>
      <w:r>
        <w:t>Registered Nurses</w:t>
      </w:r>
      <w:r w:rsidR="00A7129C" w:rsidRPr="00A7129C">
        <w:t xml:space="preserve"> </w:t>
      </w:r>
    </w:p>
    <w:p w14:paraId="59F58D1C" w14:textId="2CFD598E" w:rsidR="00A7129C" w:rsidRDefault="00A7129C" w:rsidP="00A7129C">
      <w:pPr>
        <w:pStyle w:val="ListParagraph"/>
        <w:numPr>
          <w:ilvl w:val="0"/>
          <w:numId w:val="14"/>
        </w:numPr>
      </w:pPr>
      <w:r>
        <w:t>Director of Care</w:t>
      </w:r>
    </w:p>
    <w:p w14:paraId="6CE0A84C" w14:textId="77777777" w:rsidR="00A7129C" w:rsidRDefault="00EF6089" w:rsidP="00A7129C">
      <w:pPr>
        <w:pStyle w:val="ListParagraph"/>
        <w:numPr>
          <w:ilvl w:val="0"/>
          <w:numId w:val="14"/>
        </w:numPr>
      </w:pPr>
      <w:r>
        <w:t>Nutrition Manager</w:t>
      </w:r>
    </w:p>
    <w:p w14:paraId="3CA2E996" w14:textId="77777777" w:rsidR="00A7129C" w:rsidRDefault="00EF6089" w:rsidP="00A7129C">
      <w:pPr>
        <w:pStyle w:val="ListParagraph"/>
        <w:numPr>
          <w:ilvl w:val="0"/>
          <w:numId w:val="14"/>
        </w:numPr>
      </w:pPr>
      <w:r>
        <w:t>Cook</w:t>
      </w:r>
    </w:p>
    <w:p w14:paraId="7FEE79FD" w14:textId="77777777" w:rsidR="00A7129C" w:rsidRDefault="00EF6089" w:rsidP="00A7129C">
      <w:pPr>
        <w:pStyle w:val="ListParagraph"/>
        <w:numPr>
          <w:ilvl w:val="0"/>
          <w:numId w:val="14"/>
        </w:numPr>
      </w:pPr>
      <w:r>
        <w:lastRenderedPageBreak/>
        <w:t>Food Service Workers</w:t>
      </w:r>
    </w:p>
    <w:p w14:paraId="5043C280" w14:textId="77777777" w:rsidR="00A7129C" w:rsidRDefault="00A7129C" w:rsidP="00A7129C">
      <w:pPr>
        <w:pStyle w:val="ListParagraph"/>
        <w:numPr>
          <w:ilvl w:val="0"/>
          <w:numId w:val="14"/>
        </w:numPr>
      </w:pPr>
      <w:r>
        <w:t>Dietitian</w:t>
      </w:r>
    </w:p>
    <w:p w14:paraId="63000D12" w14:textId="528995F8" w:rsidR="00A7129C" w:rsidRDefault="00A7129C" w:rsidP="00A7129C">
      <w:pPr>
        <w:pStyle w:val="ListParagraph"/>
        <w:numPr>
          <w:ilvl w:val="0"/>
          <w:numId w:val="14"/>
        </w:numPr>
      </w:pPr>
      <w:r>
        <w:t>Administrator</w:t>
      </w:r>
    </w:p>
    <w:p w14:paraId="751110C9" w14:textId="77777777" w:rsidR="00B66369" w:rsidRDefault="00167FD5" w:rsidP="00167FD5">
      <w:r>
        <w:t xml:space="preserve">There are currently 497 employees </w:t>
      </w:r>
      <w:r w:rsidR="00FB7C1E">
        <w:t xml:space="preserve">represented by three different unions and four separate collective agreements. </w:t>
      </w:r>
      <w:r w:rsidR="0019440A">
        <w:t>Across the three homes</w:t>
      </w:r>
      <w:r>
        <w:t xml:space="preserve"> 64%</w:t>
      </w:r>
      <w:r w:rsidR="0019440A">
        <w:t xml:space="preserve"> of the positions</w:t>
      </w:r>
      <w:r>
        <w:t xml:space="preserve"> are full-time and 36% part-time</w:t>
      </w:r>
      <w:r w:rsidR="0019440A">
        <w:t xml:space="preserve">. Currently we have 65 employees on leave. </w:t>
      </w:r>
    </w:p>
    <w:p w14:paraId="51C68B7A" w14:textId="29A050A3" w:rsidR="00B66369" w:rsidRDefault="0019440A" w:rsidP="00167FD5">
      <w:r>
        <w:t xml:space="preserve">More than 9,000 hours are scheduled on a weekly basis. </w:t>
      </w:r>
      <w:r w:rsidR="00B66369">
        <w:t>The average a</w:t>
      </w:r>
      <w:r w:rsidR="00B66369" w:rsidRPr="00B66369">
        <w:t xml:space="preserve">bsenteeism rate, including sick, emergency, WSIB and short term disability, is 18 days per </w:t>
      </w:r>
      <w:r w:rsidR="00B66369">
        <w:t>e</w:t>
      </w:r>
      <w:r w:rsidR="00B66369" w:rsidRPr="00B66369">
        <w:t xml:space="preserve">mployee. </w:t>
      </w:r>
      <w:r w:rsidR="00BE50FF">
        <w:t>Over the past two</w:t>
      </w:r>
      <w:r>
        <w:t xml:space="preserve"> weeks</w:t>
      </w:r>
      <w:r w:rsidR="00546E17">
        <w:t xml:space="preserve"> the homes have replaced </w:t>
      </w:r>
      <w:r>
        <w:t>more than 200 shifts</w:t>
      </w:r>
      <w:r w:rsidR="00546E17">
        <w:t xml:space="preserve"> resulting</w:t>
      </w:r>
      <w:r w:rsidR="00CD4F86">
        <w:t xml:space="preserve"> from</w:t>
      </w:r>
      <w:r w:rsidR="00546E17">
        <w:t xml:space="preserve"> illness and other unexpected issues.</w:t>
      </w:r>
      <w:r w:rsidR="00B66369">
        <w:t xml:space="preserve"> </w:t>
      </w:r>
      <w:r w:rsidR="00B578BB">
        <w:t>I</w:t>
      </w:r>
      <w:r w:rsidR="00B66369" w:rsidRPr="00B66369">
        <w:t>mprovement targets have been set and staff are working towards specific goals to reduce the occurrences</w:t>
      </w:r>
      <w:r w:rsidR="00B578BB">
        <w:t xml:space="preserve"> of absenteeism.</w:t>
      </w:r>
      <w:r w:rsidR="00B66369" w:rsidRPr="00B66369">
        <w:t xml:space="preserve"> </w:t>
      </w:r>
    </w:p>
    <w:p w14:paraId="5D420C63" w14:textId="1CE28AC9" w:rsidR="00167FD5" w:rsidRDefault="00546E17" w:rsidP="00167FD5">
      <w:r>
        <w:t xml:space="preserve">Despite Grey County having a large number of staff, the staffing compliment is specific for each home meaning staff cannot work between homes. This results in many part-time employees working for multiple employers. It is difficult to </w:t>
      </w:r>
      <w:r w:rsidR="00B578BB">
        <w:t>maintain</w:t>
      </w:r>
      <w:r>
        <w:t xml:space="preserve"> a strong base of loyal part-time employees when they do not have </w:t>
      </w:r>
      <w:r w:rsidR="00B578BB">
        <w:t xml:space="preserve">a </w:t>
      </w:r>
      <w:r>
        <w:t>guarantee of work or can’t make a living out of the shifts that are available.</w:t>
      </w:r>
      <w:r w:rsidR="00B578BB" w:rsidRPr="00B578BB">
        <w:t xml:space="preserve"> </w:t>
      </w:r>
      <w:r w:rsidR="00B578BB">
        <w:t>T</w:t>
      </w:r>
      <w:r w:rsidR="00B578BB" w:rsidRPr="00B66369">
        <w:t>he ability to provide more full</w:t>
      </w:r>
      <w:r w:rsidR="00B578BB">
        <w:t>-</w:t>
      </w:r>
      <w:r w:rsidR="00B578BB" w:rsidRPr="00B66369">
        <w:t xml:space="preserve">time </w:t>
      </w:r>
      <w:r w:rsidR="00B578BB">
        <w:t>op</w:t>
      </w:r>
      <w:r w:rsidR="00C5253F">
        <w:t>portunities and create stable</w:t>
      </w:r>
      <w:r w:rsidR="00B578BB">
        <w:t xml:space="preserve"> part time positions will assist in stab</w:t>
      </w:r>
      <w:r w:rsidR="00B578BB" w:rsidRPr="00B66369">
        <w:t>ilizing the labour pool</w:t>
      </w:r>
      <w:r w:rsidR="00B578BB">
        <w:t>.</w:t>
      </w:r>
    </w:p>
    <w:p w14:paraId="550EB1B6" w14:textId="2FC471AE" w:rsidR="009175D4" w:rsidRPr="003F2BAB" w:rsidRDefault="009175D4" w:rsidP="009666C0">
      <w:pPr>
        <w:rPr>
          <w:sz w:val="32"/>
          <w:szCs w:val="32"/>
        </w:rPr>
      </w:pPr>
      <w:r w:rsidRPr="003F2BAB">
        <w:rPr>
          <w:sz w:val="32"/>
          <w:szCs w:val="32"/>
        </w:rPr>
        <w:t>Staffing Challenges</w:t>
      </w:r>
    </w:p>
    <w:p w14:paraId="35E13198" w14:textId="119F17C8" w:rsidR="009666C0" w:rsidRDefault="00886FDB" w:rsidP="009666C0">
      <w:r>
        <w:t xml:space="preserve">Within the homes, 69 full-time and 13 part-time staff will be eligible for retirement over the next 6 years. In 2016, </w:t>
      </w:r>
      <w:r w:rsidR="00CD4F86">
        <w:t xml:space="preserve">despite the recruitment of </w:t>
      </w:r>
      <w:r>
        <w:t>90 staff</w:t>
      </w:r>
      <w:r w:rsidR="00CD4F86">
        <w:t>,</w:t>
      </w:r>
      <w:r>
        <w:t xml:space="preserve"> the homes continued to experience situations of being short staffed and needing to utilize staffing agency services. Th</w:t>
      </w:r>
      <w:r w:rsidR="00B06200">
        <w:t xml:space="preserve">e reliance on temporary staff </w:t>
      </w:r>
      <w:r>
        <w:t xml:space="preserve">does not support consistent quality care for the residents and does not meet compliance regulations. </w:t>
      </w:r>
      <w:r w:rsidR="00546E17">
        <w:t>As the baby boomer population continues to move into retirement, staffing gaps and challenges will increase.</w:t>
      </w:r>
    </w:p>
    <w:p w14:paraId="3C28C6D8" w14:textId="2CF95B45" w:rsidR="00802A34" w:rsidRDefault="00802A34" w:rsidP="00802A34">
      <w:r>
        <w:t>There is strong competition for qualified staff in the sector</w:t>
      </w:r>
      <w:r w:rsidR="00546E17">
        <w:t>.</w:t>
      </w:r>
      <w:r>
        <w:t xml:space="preserve"> </w:t>
      </w:r>
      <w:r w:rsidR="00016C05">
        <w:t>Our experience is that r</w:t>
      </w:r>
      <w:r>
        <w:t xml:space="preserve">ecruitment is more difficult in a smaller </w:t>
      </w:r>
      <w:r w:rsidR="00016C05">
        <w:t xml:space="preserve">home and recently an agency contract was expanded to include the provision of personal support workers </w:t>
      </w:r>
      <w:r w:rsidR="003B1780">
        <w:t>at Grey Gables</w:t>
      </w:r>
      <w:r w:rsidR="00016C05">
        <w:t>.</w:t>
      </w:r>
      <w:r>
        <w:t xml:space="preserve"> </w:t>
      </w:r>
    </w:p>
    <w:p w14:paraId="1E49DC88" w14:textId="129E095A" w:rsidR="009175D4" w:rsidRPr="003F2BAB" w:rsidRDefault="009175D4" w:rsidP="0051440C">
      <w:pPr>
        <w:rPr>
          <w:sz w:val="32"/>
          <w:szCs w:val="32"/>
        </w:rPr>
      </w:pPr>
      <w:r w:rsidRPr="003F2BAB">
        <w:rPr>
          <w:sz w:val="32"/>
          <w:szCs w:val="32"/>
        </w:rPr>
        <w:t>Does Travel Time Impact Employment Decisions?</w:t>
      </w:r>
    </w:p>
    <w:p w14:paraId="0E419203" w14:textId="4E36A67C" w:rsidR="00CD4F86" w:rsidRDefault="00C5253F" w:rsidP="0051440C">
      <w:r>
        <w:t>I</w:t>
      </w:r>
      <w:r w:rsidR="00A03B2E">
        <w:t>ncreased</w:t>
      </w:r>
      <w:r w:rsidR="003B1780">
        <w:t xml:space="preserve"> travel </w:t>
      </w:r>
      <w:r w:rsidR="003F75BE">
        <w:t xml:space="preserve">for staff </w:t>
      </w:r>
      <w:r>
        <w:t xml:space="preserve">to single south Grey facility was raised </w:t>
      </w:r>
      <w:r w:rsidR="003F75BE">
        <w:t>as a concern</w:t>
      </w:r>
      <w:r>
        <w:t xml:space="preserve"> during the consultations. A </w:t>
      </w:r>
      <w:r w:rsidR="003B1780">
        <w:t xml:space="preserve">review </w:t>
      </w:r>
      <w:r w:rsidR="001C44AA">
        <w:t xml:space="preserve">of </w:t>
      </w:r>
      <w:r>
        <w:t xml:space="preserve">staff </w:t>
      </w:r>
      <w:r w:rsidR="001C44AA">
        <w:t>m</w:t>
      </w:r>
      <w:r w:rsidR="009175D4">
        <w:t>ailing address information</w:t>
      </w:r>
      <w:r w:rsidR="003B1780">
        <w:t xml:space="preserve"> i</w:t>
      </w:r>
      <w:r w:rsidR="0078209C">
        <w:t>dentified that e</w:t>
      </w:r>
      <w:r w:rsidR="00691F3F">
        <w:t>ach of the homes have a broad cross section of staff</w:t>
      </w:r>
      <w:r w:rsidR="001D589E">
        <w:t xml:space="preserve"> who travel </w:t>
      </w:r>
      <w:r w:rsidR="0011303D">
        <w:t>regularly</w:t>
      </w:r>
      <w:r w:rsidR="001D589E">
        <w:t xml:space="preserve"> </w:t>
      </w:r>
      <w:r w:rsidR="0078209C">
        <w:t>for</w:t>
      </w:r>
      <w:r w:rsidR="001D589E">
        <w:t xml:space="preserve"> work with many employee</w:t>
      </w:r>
      <w:r w:rsidR="009175D4">
        <w:t>s leaving the community of one c</w:t>
      </w:r>
      <w:r w:rsidR="001D589E">
        <w:t>ounty home on their way to work in another</w:t>
      </w:r>
      <w:r w:rsidR="00B065A3">
        <w:t xml:space="preserve"> while others</w:t>
      </w:r>
      <w:r w:rsidR="0078209C">
        <w:t xml:space="preserve"> currently</w:t>
      </w:r>
      <w:r w:rsidR="00B065A3">
        <w:t xml:space="preserve"> commute in excess of 1 hour to attend work.</w:t>
      </w:r>
      <w:r w:rsidR="001D589E">
        <w:t xml:space="preserve"> The </w:t>
      </w:r>
      <w:r w:rsidR="00BE50FF">
        <w:t xml:space="preserve">following table </w:t>
      </w:r>
      <w:r w:rsidR="00BE50FF">
        <w:lastRenderedPageBreak/>
        <w:t>identifies the percent</w:t>
      </w:r>
      <w:r w:rsidR="001D589E">
        <w:t xml:space="preserve"> of staff </w:t>
      </w:r>
      <w:r w:rsidR="00016C05">
        <w:t>that</w:t>
      </w:r>
      <w:r w:rsidR="00CD4F86">
        <w:t xml:space="preserve"> have the same </w:t>
      </w:r>
      <w:r w:rsidR="001D589E">
        <w:t>city or town</w:t>
      </w:r>
      <w:r w:rsidR="00CD4F86">
        <w:t xml:space="preserve"> listed </w:t>
      </w:r>
      <w:r w:rsidR="001D589E">
        <w:t xml:space="preserve">as the </w:t>
      </w:r>
      <w:r w:rsidR="00681CDC">
        <w:t xml:space="preserve">LTC </w:t>
      </w:r>
      <w:r w:rsidR="001D589E">
        <w:t>home they work in.</w:t>
      </w:r>
    </w:p>
    <w:p w14:paraId="7CD5F4E8" w14:textId="77777777" w:rsidR="00681CDC" w:rsidRDefault="00681CDC" w:rsidP="0051440C"/>
    <w:tbl>
      <w:tblPr>
        <w:tblStyle w:val="TableGrid"/>
        <w:tblW w:w="0" w:type="auto"/>
        <w:jc w:val="center"/>
        <w:tblLook w:val="04A0" w:firstRow="1" w:lastRow="0" w:firstColumn="1" w:lastColumn="0" w:noHBand="0" w:noVBand="1"/>
        <w:tblDescription w:val="Table showing how many long term care staff  live in the same community where they work. "/>
      </w:tblPr>
      <w:tblGrid>
        <w:gridCol w:w="2337"/>
        <w:gridCol w:w="4056"/>
      </w:tblGrid>
      <w:tr w:rsidR="00691F3F" w14:paraId="72C3FB1C" w14:textId="77777777" w:rsidTr="003F6D5A">
        <w:trPr>
          <w:trHeight w:val="902"/>
          <w:tblHeader/>
          <w:jc w:val="center"/>
        </w:trPr>
        <w:tc>
          <w:tcPr>
            <w:tcW w:w="2337" w:type="dxa"/>
            <w:shd w:val="clear" w:color="auto" w:fill="98005D"/>
            <w:vAlign w:val="center"/>
          </w:tcPr>
          <w:p w14:paraId="3A52DE59" w14:textId="1DE2D3DC" w:rsidR="00691F3F" w:rsidRDefault="00691F3F" w:rsidP="00B065A3">
            <w:r>
              <w:t>Home</w:t>
            </w:r>
          </w:p>
        </w:tc>
        <w:tc>
          <w:tcPr>
            <w:tcW w:w="4056" w:type="dxa"/>
            <w:shd w:val="clear" w:color="auto" w:fill="98005D"/>
            <w:vAlign w:val="center"/>
          </w:tcPr>
          <w:p w14:paraId="1828DD71" w14:textId="2C3A4350" w:rsidR="00691F3F" w:rsidRDefault="00691F3F" w:rsidP="00681CDC">
            <w:pPr>
              <w:jc w:val="center"/>
            </w:pPr>
            <w:r>
              <w:t xml:space="preserve">% of staff </w:t>
            </w:r>
            <w:r w:rsidR="00681CDC">
              <w:t xml:space="preserve">with a </w:t>
            </w:r>
            <w:r w:rsidR="001C44AA">
              <w:t>c</w:t>
            </w:r>
            <w:r>
              <w:t>ity/</w:t>
            </w:r>
            <w:r w:rsidR="001C44AA">
              <w:t>t</w:t>
            </w:r>
            <w:r>
              <w:t xml:space="preserve">own </w:t>
            </w:r>
            <w:r w:rsidR="00B065A3">
              <w:t xml:space="preserve">address </w:t>
            </w:r>
            <w:r w:rsidR="00681CDC">
              <w:t xml:space="preserve">the same </w:t>
            </w:r>
            <w:r>
              <w:t xml:space="preserve">as the </w:t>
            </w:r>
            <w:r w:rsidR="00681CDC">
              <w:t xml:space="preserve">LTC </w:t>
            </w:r>
            <w:r>
              <w:t>home they work in</w:t>
            </w:r>
          </w:p>
        </w:tc>
      </w:tr>
      <w:tr w:rsidR="00691F3F" w14:paraId="4648776A" w14:textId="77777777" w:rsidTr="003F6D5A">
        <w:trPr>
          <w:trHeight w:val="419"/>
          <w:tblHeader/>
          <w:jc w:val="center"/>
        </w:trPr>
        <w:tc>
          <w:tcPr>
            <w:tcW w:w="2337" w:type="dxa"/>
            <w:vAlign w:val="center"/>
          </w:tcPr>
          <w:p w14:paraId="638550D0" w14:textId="7C121E97" w:rsidR="00691F3F" w:rsidRDefault="00691F3F" w:rsidP="00B065A3">
            <w:r>
              <w:t>Grey Gables</w:t>
            </w:r>
          </w:p>
        </w:tc>
        <w:tc>
          <w:tcPr>
            <w:tcW w:w="4056" w:type="dxa"/>
            <w:vAlign w:val="center"/>
          </w:tcPr>
          <w:p w14:paraId="0C7A2E22" w14:textId="5E2C7719" w:rsidR="00691F3F" w:rsidRDefault="00691F3F" w:rsidP="00B065A3">
            <w:pPr>
              <w:jc w:val="center"/>
            </w:pPr>
            <w:r>
              <w:t>34%</w:t>
            </w:r>
          </w:p>
        </w:tc>
      </w:tr>
      <w:tr w:rsidR="00691F3F" w14:paraId="0251D88F" w14:textId="77777777" w:rsidTr="003F6D5A">
        <w:trPr>
          <w:trHeight w:val="425"/>
          <w:tblHeader/>
          <w:jc w:val="center"/>
        </w:trPr>
        <w:tc>
          <w:tcPr>
            <w:tcW w:w="2337" w:type="dxa"/>
            <w:vAlign w:val="center"/>
          </w:tcPr>
          <w:p w14:paraId="6519E5A9" w14:textId="6AE1D7AA" w:rsidR="00691F3F" w:rsidRDefault="00691F3F" w:rsidP="00B065A3">
            <w:r>
              <w:t>Lee Manor</w:t>
            </w:r>
          </w:p>
        </w:tc>
        <w:tc>
          <w:tcPr>
            <w:tcW w:w="4056" w:type="dxa"/>
            <w:vAlign w:val="center"/>
          </w:tcPr>
          <w:p w14:paraId="2D8C8187" w14:textId="751B8FF0" w:rsidR="00691F3F" w:rsidRDefault="00691F3F" w:rsidP="00B065A3">
            <w:pPr>
              <w:jc w:val="center"/>
            </w:pPr>
            <w:r>
              <w:t>65%</w:t>
            </w:r>
          </w:p>
        </w:tc>
      </w:tr>
      <w:tr w:rsidR="00691F3F" w14:paraId="0143B77C" w14:textId="77777777" w:rsidTr="003F6D5A">
        <w:trPr>
          <w:trHeight w:val="403"/>
          <w:tblHeader/>
          <w:jc w:val="center"/>
        </w:trPr>
        <w:tc>
          <w:tcPr>
            <w:tcW w:w="2337" w:type="dxa"/>
            <w:vAlign w:val="center"/>
          </w:tcPr>
          <w:p w14:paraId="18EDA87D" w14:textId="3D6DDBB4" w:rsidR="00691F3F" w:rsidRDefault="00691F3F" w:rsidP="00B065A3">
            <w:r>
              <w:t>Rockwood Terrace</w:t>
            </w:r>
          </w:p>
        </w:tc>
        <w:tc>
          <w:tcPr>
            <w:tcW w:w="4056" w:type="dxa"/>
            <w:vAlign w:val="center"/>
          </w:tcPr>
          <w:p w14:paraId="70658246" w14:textId="3A92696C" w:rsidR="00691F3F" w:rsidRDefault="00691F3F" w:rsidP="00B065A3">
            <w:pPr>
              <w:jc w:val="center"/>
            </w:pPr>
            <w:r>
              <w:t>45%</w:t>
            </w:r>
          </w:p>
        </w:tc>
      </w:tr>
    </w:tbl>
    <w:p w14:paraId="37BC038F" w14:textId="458B0917" w:rsidR="0004742A" w:rsidRDefault="003F75BE" w:rsidP="0051440C">
      <w:r>
        <w:t xml:space="preserve"> </w:t>
      </w:r>
    </w:p>
    <w:p w14:paraId="53D98129" w14:textId="0FED05E8" w:rsidR="009175D4" w:rsidRPr="003F2BAB" w:rsidRDefault="009175D4" w:rsidP="00770F24">
      <w:pPr>
        <w:rPr>
          <w:sz w:val="32"/>
          <w:szCs w:val="32"/>
        </w:rPr>
      </w:pPr>
      <w:r w:rsidRPr="003F2BAB">
        <w:rPr>
          <w:sz w:val="32"/>
          <w:szCs w:val="32"/>
        </w:rPr>
        <w:t>How Does Home Size Impact Staffing?</w:t>
      </w:r>
    </w:p>
    <w:p w14:paraId="5163CC15" w14:textId="77777777" w:rsidR="00372766" w:rsidRDefault="00372766" w:rsidP="00372766">
      <w:r>
        <w:t>The number of staff hours in each home is based on a number of factors including:</w:t>
      </w:r>
    </w:p>
    <w:p w14:paraId="7C9912FF" w14:textId="77777777" w:rsidR="00372766" w:rsidRDefault="00372766" w:rsidP="00372766">
      <w:pPr>
        <w:pStyle w:val="ListParagraph"/>
        <w:numPr>
          <w:ilvl w:val="0"/>
          <w:numId w:val="20"/>
        </w:numPr>
      </w:pPr>
      <w:r>
        <w:t>the Case Mix Index</w:t>
      </w:r>
    </w:p>
    <w:p w14:paraId="177ACAE2" w14:textId="77777777" w:rsidR="00372766" w:rsidRDefault="00372766" w:rsidP="00372766">
      <w:pPr>
        <w:pStyle w:val="ListParagraph"/>
        <w:numPr>
          <w:ilvl w:val="0"/>
          <w:numId w:val="20"/>
        </w:numPr>
      </w:pPr>
      <w:r>
        <w:t xml:space="preserve">physical/environmental design of the building </w:t>
      </w:r>
    </w:p>
    <w:p w14:paraId="5CC5F885" w14:textId="2038B755" w:rsidR="00372766" w:rsidRDefault="00B578BB" w:rsidP="00372766">
      <w:pPr>
        <w:pStyle w:val="ListParagraph"/>
        <w:numPr>
          <w:ilvl w:val="0"/>
          <w:numId w:val="20"/>
        </w:numPr>
      </w:pPr>
      <w:r>
        <w:t>legislative</w:t>
      </w:r>
      <w:r w:rsidR="00372766">
        <w:t xml:space="preserve"> requirements</w:t>
      </w:r>
    </w:p>
    <w:p w14:paraId="6C9EBEDE" w14:textId="0CE39E51" w:rsidR="00372766" w:rsidRDefault="00372766" w:rsidP="00372766">
      <w:r>
        <w:t xml:space="preserve">Ministry funding is based on the </w:t>
      </w:r>
      <w:r w:rsidR="00832D29">
        <w:t>number</w:t>
      </w:r>
      <w:r>
        <w:t xml:space="preserve"> of residents</w:t>
      </w:r>
      <w:r w:rsidR="00832D29">
        <w:t xml:space="preserve"> in the home</w:t>
      </w:r>
      <w:r>
        <w:t xml:space="preserve"> and the annual calculation of the resident acuity (Case Mix Index- CMI)</w:t>
      </w:r>
      <w:r w:rsidR="00681CDC">
        <w:t>.</w:t>
      </w:r>
      <w:r>
        <w:t xml:space="preserve"> Grey Gables has historically had the lowest CMI of the three homes</w:t>
      </w:r>
      <w:r w:rsidR="00832D29">
        <w:t xml:space="preserve"> which directly impacts funding for nursing and personal care. In a staff survey and engagement sessions </w:t>
      </w:r>
      <w:r w:rsidR="00681CDC">
        <w:t xml:space="preserve">that </w:t>
      </w:r>
      <w:r w:rsidR="00832D29">
        <w:t xml:space="preserve">took place in 2016, it was widely voiced that staff struggle to meet the time pressures and requirements necessary to provide care. </w:t>
      </w:r>
      <w:r w:rsidR="00681CDC">
        <w:t>Admissions to the home over the past couple of years have been more complex however the CMI has not changed significantly.</w:t>
      </w:r>
    </w:p>
    <w:p w14:paraId="63E86792" w14:textId="5FB34EFE" w:rsidR="00770F24" w:rsidRDefault="0078209C" w:rsidP="00372766">
      <w:r>
        <w:t xml:space="preserve">While a person may argue that a smaller home should require fewer administrative resources many functions require the same amount of time regardless of the size of the home. Regulations, service agreements and legislation </w:t>
      </w:r>
      <w:r w:rsidR="00802CF6">
        <w:t>require</w:t>
      </w:r>
      <w:r>
        <w:t xml:space="preserve"> specific time frames being met for mandatory reporting, evaluation of programs and services, audits and quality improvement plans. Tasks including the development, implementation and evaluation of annual education and fire drills are a couple of other requirements set by the ministry that requires the same amount of </w:t>
      </w:r>
      <w:r w:rsidR="001C44AA">
        <w:t xml:space="preserve">time and </w:t>
      </w:r>
      <w:r>
        <w:t xml:space="preserve">effort regardless of the size of </w:t>
      </w:r>
      <w:r w:rsidR="001C44AA">
        <w:t xml:space="preserve">the </w:t>
      </w:r>
      <w:r>
        <w:t xml:space="preserve">home. The challenge in a smaller home is that the team is smaller with some members only working part-time. </w:t>
      </w:r>
      <w:r w:rsidR="0051597E">
        <w:t>The budget in a</w:t>
      </w:r>
      <w:r w:rsidR="00E41CFB">
        <w:t xml:space="preserve"> larger home </w:t>
      </w:r>
      <w:r w:rsidR="0051597E">
        <w:t>is able to</w:t>
      </w:r>
      <w:r w:rsidR="00E41CFB">
        <w:t xml:space="preserve"> support </w:t>
      </w:r>
      <w:r w:rsidR="0051597E">
        <w:t xml:space="preserve">additional </w:t>
      </w:r>
      <w:r w:rsidR="00E41CFB">
        <w:t xml:space="preserve">administrative </w:t>
      </w:r>
      <w:r w:rsidR="0051597E">
        <w:t>positions</w:t>
      </w:r>
      <w:r w:rsidR="00E41CFB">
        <w:t xml:space="preserve"> </w:t>
      </w:r>
      <w:r>
        <w:t xml:space="preserve">which assist with overall workload. </w:t>
      </w:r>
      <w:r w:rsidR="00770F24">
        <w:t xml:space="preserve"> </w:t>
      </w:r>
    </w:p>
    <w:p w14:paraId="5CD4840F" w14:textId="012F3ACF" w:rsidR="003133C0" w:rsidRDefault="00372766" w:rsidP="003133C0">
      <w:r>
        <w:t xml:space="preserve">The following table identifies the per resident day staffing levels in each home. </w:t>
      </w:r>
      <w:r w:rsidR="00970FDF">
        <w:t xml:space="preserve">The difference in staffing levels is directly attributed to the CMI, </w:t>
      </w:r>
      <w:r w:rsidR="00B578BB">
        <w:t>legislative</w:t>
      </w:r>
      <w:r w:rsidR="00970FDF">
        <w:t xml:space="preserve"> requirement for </w:t>
      </w:r>
      <w:r w:rsidR="00970FDF">
        <w:lastRenderedPageBreak/>
        <w:t xml:space="preserve">some positions and </w:t>
      </w:r>
      <w:r w:rsidR="00681CDC">
        <w:t xml:space="preserve">the </w:t>
      </w:r>
      <w:r w:rsidR="00970FDF">
        <w:t xml:space="preserve">number of beds in </w:t>
      </w:r>
      <w:r w:rsidR="00681CDC">
        <w:t>the</w:t>
      </w:r>
      <w:r w:rsidR="00970FDF">
        <w:t xml:space="preserve"> home in which costs can be shared across.</w:t>
      </w:r>
    </w:p>
    <w:p w14:paraId="133D3F61" w14:textId="77777777" w:rsidR="00681CDC" w:rsidRDefault="00681CDC" w:rsidP="003133C0"/>
    <w:tbl>
      <w:tblPr>
        <w:tblStyle w:val="TableGrid"/>
        <w:tblW w:w="0" w:type="auto"/>
        <w:jc w:val="center"/>
        <w:tblLook w:val="04A0" w:firstRow="1" w:lastRow="0" w:firstColumn="1" w:lastColumn="0" w:noHBand="0" w:noVBand="1"/>
        <w:tblDescription w:val="2017 approved budget number of hours per resident date"/>
      </w:tblPr>
      <w:tblGrid>
        <w:gridCol w:w="2835"/>
        <w:gridCol w:w="1984"/>
        <w:gridCol w:w="1985"/>
        <w:gridCol w:w="2238"/>
      </w:tblGrid>
      <w:tr w:rsidR="00970FDF" w14:paraId="2B1769A1" w14:textId="77777777" w:rsidTr="003F6D5A">
        <w:trPr>
          <w:trHeight w:val="457"/>
          <w:tblHeader/>
          <w:jc w:val="center"/>
        </w:trPr>
        <w:tc>
          <w:tcPr>
            <w:tcW w:w="9042" w:type="dxa"/>
            <w:gridSpan w:val="4"/>
            <w:shd w:val="clear" w:color="auto" w:fill="98005D"/>
            <w:vAlign w:val="center"/>
          </w:tcPr>
          <w:p w14:paraId="5B356959" w14:textId="219DBA31" w:rsidR="00970FDF" w:rsidRDefault="00970FDF" w:rsidP="00970FDF">
            <w:pPr>
              <w:jc w:val="center"/>
            </w:pPr>
            <w:r>
              <w:t>2017 Approved Budget # of Hour</w:t>
            </w:r>
            <w:r w:rsidR="00C5253F">
              <w:t>s</w:t>
            </w:r>
            <w:r>
              <w:t xml:space="preserve"> per Resident Day</w:t>
            </w:r>
          </w:p>
        </w:tc>
      </w:tr>
      <w:tr w:rsidR="001C44AA" w14:paraId="09798109" w14:textId="77777777" w:rsidTr="003F6D5A">
        <w:trPr>
          <w:trHeight w:val="563"/>
          <w:tblHeader/>
          <w:jc w:val="center"/>
        </w:trPr>
        <w:tc>
          <w:tcPr>
            <w:tcW w:w="2835" w:type="dxa"/>
            <w:vAlign w:val="center"/>
          </w:tcPr>
          <w:p w14:paraId="2B34B5FF" w14:textId="2BF6D11B" w:rsidR="001C44AA" w:rsidRDefault="001C44AA" w:rsidP="00970FDF"/>
        </w:tc>
        <w:tc>
          <w:tcPr>
            <w:tcW w:w="1984" w:type="dxa"/>
            <w:vAlign w:val="center"/>
          </w:tcPr>
          <w:p w14:paraId="2036D0BB" w14:textId="43DA2606" w:rsidR="001C44AA" w:rsidRDefault="001C44AA" w:rsidP="00970FDF">
            <w:pPr>
              <w:jc w:val="center"/>
            </w:pPr>
            <w:r>
              <w:t>Grey Gables</w:t>
            </w:r>
          </w:p>
        </w:tc>
        <w:tc>
          <w:tcPr>
            <w:tcW w:w="1985" w:type="dxa"/>
            <w:vAlign w:val="center"/>
          </w:tcPr>
          <w:p w14:paraId="71F24848" w14:textId="6A3D9B4B" w:rsidR="001C44AA" w:rsidRDefault="003133C0" w:rsidP="00970FDF">
            <w:pPr>
              <w:jc w:val="center"/>
            </w:pPr>
            <w:r>
              <w:t>Lee Manor</w:t>
            </w:r>
          </w:p>
        </w:tc>
        <w:tc>
          <w:tcPr>
            <w:tcW w:w="2238" w:type="dxa"/>
            <w:vAlign w:val="center"/>
          </w:tcPr>
          <w:p w14:paraId="76CBF4C1" w14:textId="587B875A" w:rsidR="001C44AA" w:rsidRDefault="003133C0" w:rsidP="003F79EE">
            <w:pPr>
              <w:jc w:val="center"/>
            </w:pPr>
            <w:r>
              <w:t>Rockwood Terrace</w:t>
            </w:r>
          </w:p>
        </w:tc>
      </w:tr>
      <w:tr w:rsidR="003F79EE" w14:paraId="66139272" w14:textId="77777777" w:rsidTr="003F6D5A">
        <w:trPr>
          <w:trHeight w:val="698"/>
          <w:jc w:val="center"/>
        </w:trPr>
        <w:tc>
          <w:tcPr>
            <w:tcW w:w="2835" w:type="dxa"/>
            <w:vAlign w:val="center"/>
          </w:tcPr>
          <w:p w14:paraId="7966BB49" w14:textId="77777777" w:rsidR="003F79EE" w:rsidRDefault="003F79EE" w:rsidP="00970FDF">
            <w:r>
              <w:t>Direct Care Staff</w:t>
            </w:r>
          </w:p>
          <w:p w14:paraId="1557DF8F" w14:textId="752BE663" w:rsidR="003F79EE" w:rsidRPr="00970FDF" w:rsidRDefault="003F79EE" w:rsidP="00970FDF">
            <w:pPr>
              <w:rPr>
                <w:sz w:val="20"/>
                <w:szCs w:val="20"/>
              </w:rPr>
            </w:pPr>
            <w:r w:rsidRPr="00970FDF">
              <w:rPr>
                <w:sz w:val="20"/>
                <w:szCs w:val="20"/>
              </w:rPr>
              <w:t>(RN/RPN/PSW)</w:t>
            </w:r>
          </w:p>
        </w:tc>
        <w:tc>
          <w:tcPr>
            <w:tcW w:w="1984" w:type="dxa"/>
            <w:vAlign w:val="center"/>
          </w:tcPr>
          <w:p w14:paraId="672827A5" w14:textId="1DD6E422" w:rsidR="003F79EE" w:rsidRPr="003F79EE" w:rsidRDefault="003F79EE" w:rsidP="003F79EE">
            <w:pPr>
              <w:jc w:val="center"/>
              <w:rPr>
                <w:rFonts w:cs="Arial"/>
              </w:rPr>
            </w:pPr>
            <w:r>
              <w:rPr>
                <w:rFonts w:cs="Arial"/>
              </w:rPr>
              <w:t>2.70</w:t>
            </w:r>
          </w:p>
        </w:tc>
        <w:tc>
          <w:tcPr>
            <w:tcW w:w="1985" w:type="dxa"/>
            <w:vAlign w:val="center"/>
          </w:tcPr>
          <w:p w14:paraId="0A85D5B6" w14:textId="17F49A79" w:rsidR="003F79EE" w:rsidRPr="003F79EE" w:rsidRDefault="003F79EE" w:rsidP="003F79EE">
            <w:pPr>
              <w:jc w:val="center"/>
              <w:rPr>
                <w:rFonts w:cs="Arial"/>
              </w:rPr>
            </w:pPr>
            <w:r>
              <w:rPr>
                <w:rFonts w:cs="Arial"/>
              </w:rPr>
              <w:t>2.80</w:t>
            </w:r>
          </w:p>
        </w:tc>
        <w:tc>
          <w:tcPr>
            <w:tcW w:w="2238" w:type="dxa"/>
            <w:vAlign w:val="center"/>
          </w:tcPr>
          <w:p w14:paraId="4B6468C1" w14:textId="3032625F" w:rsidR="003F79EE" w:rsidRPr="003F79EE" w:rsidRDefault="003F79EE" w:rsidP="003F79EE">
            <w:pPr>
              <w:jc w:val="center"/>
              <w:rPr>
                <w:rFonts w:cs="Arial"/>
              </w:rPr>
            </w:pPr>
            <w:r>
              <w:rPr>
                <w:rFonts w:cs="Arial"/>
              </w:rPr>
              <w:t>2.78</w:t>
            </w:r>
          </w:p>
        </w:tc>
      </w:tr>
      <w:tr w:rsidR="003F79EE" w14:paraId="21853E49" w14:textId="77777777" w:rsidTr="003F6D5A">
        <w:trPr>
          <w:trHeight w:val="1327"/>
          <w:jc w:val="center"/>
        </w:trPr>
        <w:tc>
          <w:tcPr>
            <w:tcW w:w="2835" w:type="dxa"/>
            <w:vAlign w:val="center"/>
          </w:tcPr>
          <w:p w14:paraId="630F3506" w14:textId="597209A2" w:rsidR="00681CDC" w:rsidRDefault="003F79EE" w:rsidP="00681CDC">
            <w:r>
              <w:t>Non Direct Care Staff</w:t>
            </w:r>
            <w:r w:rsidR="00681CDC">
              <w:t xml:space="preserve"> Union</w:t>
            </w:r>
          </w:p>
          <w:p w14:paraId="17E6138E" w14:textId="663258F5" w:rsidR="003F79EE" w:rsidRPr="00970FDF" w:rsidRDefault="003F79EE" w:rsidP="00970FDF">
            <w:pPr>
              <w:rPr>
                <w:sz w:val="20"/>
                <w:szCs w:val="20"/>
              </w:rPr>
            </w:pPr>
            <w:r w:rsidRPr="00970FDF">
              <w:rPr>
                <w:sz w:val="20"/>
                <w:szCs w:val="20"/>
              </w:rPr>
              <w:t xml:space="preserve">(Programs, Dietary, Laundry, Housekeeping, </w:t>
            </w:r>
            <w:r w:rsidR="00B578BB" w:rsidRPr="00970FDF">
              <w:rPr>
                <w:sz w:val="20"/>
                <w:szCs w:val="20"/>
              </w:rPr>
              <w:t>Ma</w:t>
            </w:r>
            <w:r w:rsidR="00B578BB">
              <w:rPr>
                <w:sz w:val="20"/>
                <w:szCs w:val="20"/>
              </w:rPr>
              <w:t>intenance</w:t>
            </w:r>
            <w:r w:rsidRPr="00970FDF">
              <w:rPr>
                <w:sz w:val="20"/>
                <w:szCs w:val="20"/>
              </w:rPr>
              <w:t>)</w:t>
            </w:r>
          </w:p>
        </w:tc>
        <w:tc>
          <w:tcPr>
            <w:tcW w:w="1984" w:type="dxa"/>
            <w:vAlign w:val="center"/>
          </w:tcPr>
          <w:p w14:paraId="7088F6E4" w14:textId="5F0D800F" w:rsidR="003F79EE" w:rsidRPr="003F79EE" w:rsidRDefault="003F79EE" w:rsidP="003F79EE">
            <w:pPr>
              <w:jc w:val="center"/>
              <w:rPr>
                <w:rFonts w:cs="Arial"/>
              </w:rPr>
            </w:pPr>
            <w:r>
              <w:rPr>
                <w:rFonts w:cs="Arial"/>
              </w:rPr>
              <w:t>1.10</w:t>
            </w:r>
          </w:p>
        </w:tc>
        <w:tc>
          <w:tcPr>
            <w:tcW w:w="1985" w:type="dxa"/>
            <w:vAlign w:val="center"/>
          </w:tcPr>
          <w:p w14:paraId="51746D88" w14:textId="23F6A5CE" w:rsidR="003F79EE" w:rsidRPr="003F79EE" w:rsidRDefault="003F79EE" w:rsidP="003F79EE">
            <w:pPr>
              <w:jc w:val="center"/>
              <w:rPr>
                <w:rFonts w:cs="Arial"/>
              </w:rPr>
            </w:pPr>
            <w:r>
              <w:rPr>
                <w:rFonts w:cs="Arial"/>
              </w:rPr>
              <w:t>1.25</w:t>
            </w:r>
          </w:p>
        </w:tc>
        <w:tc>
          <w:tcPr>
            <w:tcW w:w="2238" w:type="dxa"/>
            <w:vAlign w:val="center"/>
          </w:tcPr>
          <w:p w14:paraId="7A9AD90A" w14:textId="484387F5" w:rsidR="003F79EE" w:rsidRPr="003F79EE" w:rsidRDefault="003F79EE" w:rsidP="003F79EE">
            <w:pPr>
              <w:jc w:val="center"/>
              <w:rPr>
                <w:rFonts w:cs="Arial"/>
              </w:rPr>
            </w:pPr>
            <w:r>
              <w:rPr>
                <w:rFonts w:cs="Arial"/>
              </w:rPr>
              <w:t>1.24</w:t>
            </w:r>
          </w:p>
        </w:tc>
      </w:tr>
      <w:tr w:rsidR="003F79EE" w14:paraId="2F4FFC49" w14:textId="77777777" w:rsidTr="003F6D5A">
        <w:trPr>
          <w:trHeight w:val="702"/>
          <w:jc w:val="center"/>
        </w:trPr>
        <w:tc>
          <w:tcPr>
            <w:tcW w:w="2835" w:type="dxa"/>
            <w:vAlign w:val="center"/>
          </w:tcPr>
          <w:p w14:paraId="0FB32E58" w14:textId="0CCB44EB" w:rsidR="00372766" w:rsidRDefault="00372766" w:rsidP="00970FDF">
            <w:r>
              <w:t>Non Direct Care Staff</w:t>
            </w:r>
            <w:r w:rsidR="00681CDC">
              <w:t xml:space="preserve"> Non-Union</w:t>
            </w:r>
          </w:p>
        </w:tc>
        <w:tc>
          <w:tcPr>
            <w:tcW w:w="1984" w:type="dxa"/>
            <w:vAlign w:val="center"/>
          </w:tcPr>
          <w:p w14:paraId="6805A5CE" w14:textId="09978E0B" w:rsidR="003F79EE" w:rsidRPr="003F79EE" w:rsidRDefault="00C5253F" w:rsidP="003F79EE">
            <w:pPr>
              <w:jc w:val="center"/>
              <w:rPr>
                <w:rFonts w:cs="Arial"/>
              </w:rPr>
            </w:pPr>
            <w:r>
              <w:rPr>
                <w:rFonts w:cs="Arial"/>
              </w:rPr>
              <w:t>0.57</w:t>
            </w:r>
          </w:p>
        </w:tc>
        <w:tc>
          <w:tcPr>
            <w:tcW w:w="1985" w:type="dxa"/>
            <w:vAlign w:val="center"/>
          </w:tcPr>
          <w:p w14:paraId="3BB6C6BF" w14:textId="69BA6FDF" w:rsidR="003F79EE" w:rsidRPr="003F79EE" w:rsidRDefault="00372766" w:rsidP="003F79EE">
            <w:pPr>
              <w:jc w:val="center"/>
              <w:rPr>
                <w:rFonts w:cs="Arial"/>
              </w:rPr>
            </w:pPr>
            <w:r>
              <w:rPr>
                <w:rFonts w:cs="Arial"/>
              </w:rPr>
              <w:t>0.44</w:t>
            </w:r>
          </w:p>
        </w:tc>
        <w:tc>
          <w:tcPr>
            <w:tcW w:w="2238" w:type="dxa"/>
            <w:vAlign w:val="center"/>
          </w:tcPr>
          <w:p w14:paraId="6DF37157" w14:textId="077667CD" w:rsidR="003F79EE" w:rsidRPr="003F79EE" w:rsidRDefault="00C5253F" w:rsidP="003F79EE">
            <w:pPr>
              <w:jc w:val="center"/>
              <w:rPr>
                <w:rFonts w:cs="Arial"/>
              </w:rPr>
            </w:pPr>
            <w:r>
              <w:rPr>
                <w:rFonts w:cs="Arial"/>
              </w:rPr>
              <w:t>0.52</w:t>
            </w:r>
          </w:p>
        </w:tc>
      </w:tr>
    </w:tbl>
    <w:p w14:paraId="022C3053" w14:textId="77777777" w:rsidR="00970FDF" w:rsidRDefault="00970FDF" w:rsidP="00970FDF"/>
    <w:p w14:paraId="2949794E" w14:textId="0EC1446F" w:rsidR="00970FDF" w:rsidRDefault="00970FDF" w:rsidP="00970FDF">
      <w:r>
        <w:t xml:space="preserve">The consultant report completed by Sienna Senior Living in 2016 indicated that </w:t>
      </w:r>
      <w:r w:rsidR="00C5253F">
        <w:t xml:space="preserve">adjustments in operating costs </w:t>
      </w:r>
      <w:r w:rsidR="00933EA7">
        <w:t xml:space="preserve">related to staffing, nursing supplies and </w:t>
      </w:r>
      <w:r w:rsidR="00B578BB">
        <w:t>equipment</w:t>
      </w:r>
      <w:r w:rsidR="00933EA7">
        <w:t>, and improvements in accommodation would</w:t>
      </w:r>
      <w:r w:rsidR="00681CDC">
        <w:t xml:space="preserve"> provide </w:t>
      </w:r>
      <w:r w:rsidR="00C5253F">
        <w:t>savings</w:t>
      </w:r>
      <w:r w:rsidR="00333FF1">
        <w:t xml:space="preserve"> of $607,587</w:t>
      </w:r>
      <w:r w:rsidR="00333FF1">
        <w:rPr>
          <w:rStyle w:val="FootnoteReference"/>
        </w:rPr>
        <w:footnoteReference w:id="1"/>
      </w:r>
      <w:r w:rsidR="00333FF1">
        <w:t xml:space="preserve"> </w:t>
      </w:r>
      <w:r w:rsidR="00933EA7">
        <w:t>in the first year of operation (based on the 2015 budget)</w:t>
      </w:r>
      <w:r w:rsidR="00681CDC">
        <w:t xml:space="preserve"> by </w:t>
      </w:r>
      <w:r w:rsidR="00E81076">
        <w:t>amalgamating</w:t>
      </w:r>
      <w:r w:rsidR="00681CDC">
        <w:t xml:space="preserve"> the 66 beds in Markdale with the 100 beds in Durham</w:t>
      </w:r>
      <w:r w:rsidR="00933EA7">
        <w:t xml:space="preserve">. </w:t>
      </w:r>
    </w:p>
    <w:p w14:paraId="6640A85A" w14:textId="56FAF2FD" w:rsidR="009175D4" w:rsidRPr="003F2BAB" w:rsidRDefault="008338B4" w:rsidP="001C44AA">
      <w:pPr>
        <w:pStyle w:val="Heading3"/>
      </w:pPr>
      <w:r w:rsidRPr="003F2BAB">
        <w:t>Becoming an Employer of Choice</w:t>
      </w:r>
    </w:p>
    <w:p w14:paraId="70AF8E6C" w14:textId="2C88EA6C" w:rsidR="00B578BB" w:rsidRDefault="00B578BB" w:rsidP="00B578BB">
      <w:r>
        <w:rPr>
          <w:lang w:val="en-CA"/>
        </w:rPr>
        <w:t>Human Resource and Long Term Care managers recognize that structural improvements to the delivery of service are necessary</w:t>
      </w:r>
      <w:r w:rsidR="00BC5922">
        <w:rPr>
          <w:lang w:val="en-CA"/>
        </w:rPr>
        <w:t xml:space="preserve"> to support and engage the workforce</w:t>
      </w:r>
      <w:r>
        <w:rPr>
          <w:lang w:val="en-CA"/>
        </w:rPr>
        <w:t xml:space="preserve">.  </w:t>
      </w:r>
      <w:r w:rsidR="00BC5922">
        <w:rPr>
          <w:lang w:val="en-CA"/>
        </w:rPr>
        <w:t xml:space="preserve">Currently Grey County is spending $186,000 annually on </w:t>
      </w:r>
      <w:r w:rsidRPr="00B66369">
        <w:t xml:space="preserve">external services associated with grievances, arbitrations, pay equity and investigations within the homes. </w:t>
      </w:r>
      <w:r w:rsidR="00BC5922">
        <w:t xml:space="preserve">However, while </w:t>
      </w:r>
      <w:r w:rsidR="00BE50FF">
        <w:t>Lee Manor and Rockwood Terrace l</w:t>
      </w:r>
      <w:r w:rsidRPr="00B66369">
        <w:t xml:space="preserve">egal </w:t>
      </w:r>
      <w:r w:rsidR="00C5253F">
        <w:t>costs averaged less than $500</w:t>
      </w:r>
      <w:r w:rsidRPr="00B66369">
        <w:t xml:space="preserve"> on a per bed basis</w:t>
      </w:r>
      <w:r w:rsidR="00BC5922">
        <w:t xml:space="preserve">, </w:t>
      </w:r>
      <w:r w:rsidRPr="00B66369">
        <w:t xml:space="preserve">Grey </w:t>
      </w:r>
      <w:proofErr w:type="gramStart"/>
      <w:r w:rsidRPr="00B66369">
        <w:t>Gables</w:t>
      </w:r>
      <w:proofErr w:type="gramEnd"/>
      <w:r w:rsidRPr="00B66369">
        <w:t xml:space="preserve"> </w:t>
      </w:r>
      <w:r w:rsidR="00BC5922">
        <w:t>costs were</w:t>
      </w:r>
      <w:r w:rsidRPr="00B66369">
        <w:t xml:space="preserve"> in excess of $1,000.</w:t>
      </w:r>
      <w:r w:rsidR="00681CDC">
        <w:t xml:space="preserve"> </w:t>
      </w:r>
    </w:p>
    <w:p w14:paraId="0C8EA274" w14:textId="234D5824" w:rsidR="008338B4" w:rsidRPr="008338B4" w:rsidRDefault="00333FF1" w:rsidP="001C44AA">
      <w:pPr>
        <w:rPr>
          <w:lang w:val="en-CA"/>
        </w:rPr>
      </w:pPr>
      <w:r>
        <w:rPr>
          <w:lang w:val="en-CA"/>
        </w:rPr>
        <w:t>T</w:t>
      </w:r>
      <w:r w:rsidR="008338B4" w:rsidRPr="008338B4">
        <w:rPr>
          <w:lang w:val="en-CA"/>
        </w:rPr>
        <w:t xml:space="preserve">o provide the required high level of care, maintain compliance and contain costs, workforce stability </w:t>
      </w:r>
      <w:r w:rsidR="009722B7">
        <w:rPr>
          <w:lang w:val="en-CA"/>
        </w:rPr>
        <w:t>and availability is</w:t>
      </w:r>
      <w:r w:rsidR="00BE50FF">
        <w:rPr>
          <w:lang w:val="en-CA"/>
        </w:rPr>
        <w:t xml:space="preserve"> critical. While the C</w:t>
      </w:r>
      <w:r w:rsidR="008338B4" w:rsidRPr="008338B4">
        <w:rPr>
          <w:lang w:val="en-CA"/>
        </w:rPr>
        <w:t xml:space="preserve">ounty currently offers a higher level of compensation for our front line workers than some other private sector providers, as competition for talent increases, this gap will lessen.  Grey County will be </w:t>
      </w:r>
      <w:r w:rsidR="008338B4" w:rsidRPr="008338B4">
        <w:rPr>
          <w:lang w:val="en-CA"/>
        </w:rPr>
        <w:lastRenderedPageBreak/>
        <w:t xml:space="preserve">continually challenged to locate, </w:t>
      </w:r>
      <w:r w:rsidR="009722B7" w:rsidRPr="008338B4">
        <w:rPr>
          <w:lang w:val="en-CA"/>
        </w:rPr>
        <w:t>attract, optimize</w:t>
      </w:r>
      <w:r w:rsidR="008338B4" w:rsidRPr="008338B4">
        <w:rPr>
          <w:lang w:val="en-CA"/>
        </w:rPr>
        <w:t xml:space="preserve"> and retain the talent we need to serve our residents. We </w:t>
      </w:r>
      <w:r>
        <w:rPr>
          <w:lang w:val="en-CA"/>
        </w:rPr>
        <w:t xml:space="preserve">will </w:t>
      </w:r>
      <w:r w:rsidR="008338B4" w:rsidRPr="008338B4">
        <w:rPr>
          <w:lang w:val="en-CA"/>
        </w:rPr>
        <w:t xml:space="preserve">need to become an employer of choice.  </w:t>
      </w:r>
    </w:p>
    <w:p w14:paraId="526DEA8C" w14:textId="64465A6E" w:rsidR="003F2BAB" w:rsidRPr="00B578BB" w:rsidRDefault="00962BC8" w:rsidP="00B578BB">
      <w:pPr>
        <w:pStyle w:val="Heading3"/>
      </w:pPr>
      <w:r w:rsidRPr="00B578BB">
        <w:t xml:space="preserve">Growing </w:t>
      </w:r>
      <w:r w:rsidR="003F2BAB" w:rsidRPr="00B578BB">
        <w:t>Municipal Responsibility for Costs</w:t>
      </w:r>
    </w:p>
    <w:p w14:paraId="3A96A647" w14:textId="1B960AB4" w:rsidR="00B065A3" w:rsidRDefault="00962BC8" w:rsidP="00B065A3">
      <w:r>
        <w:t xml:space="preserve">As care requirements have increased, </w:t>
      </w:r>
      <w:r w:rsidR="00B578BB">
        <w:t xml:space="preserve">the Ministry of Health and Long Term Care </w:t>
      </w:r>
      <w:r w:rsidR="000F7C26">
        <w:t>ha</w:t>
      </w:r>
      <w:r>
        <w:t>s responded by providing</w:t>
      </w:r>
      <w:r w:rsidR="000F7C26">
        <w:t xml:space="preserve"> </w:t>
      </w:r>
      <w:r w:rsidR="00BC5922">
        <w:t xml:space="preserve">occasional or </w:t>
      </w:r>
      <w:r w:rsidR="000F7C26">
        <w:t xml:space="preserve">one-time funding for the provision of medical equipment. </w:t>
      </w:r>
      <w:r>
        <w:t>However, t</w:t>
      </w:r>
      <w:r w:rsidR="0078209C">
        <w:t>he ongoing responsibility for</w:t>
      </w:r>
      <w:r w:rsidR="000F7C26">
        <w:t xml:space="preserve"> any associated maintenance and replacement cost</w:t>
      </w:r>
      <w:r>
        <w:t>s</w:t>
      </w:r>
      <w:r w:rsidR="00016C05">
        <w:t>,</w:t>
      </w:r>
      <w:r w:rsidR="000F7C26">
        <w:t xml:space="preserve"> as the equipment reaches the end of its life cycle</w:t>
      </w:r>
      <w:r w:rsidR="00016C05">
        <w:t>,</w:t>
      </w:r>
      <w:r w:rsidR="0078209C">
        <w:t xml:space="preserve"> </w:t>
      </w:r>
      <w:r w:rsidR="00BE50FF">
        <w:t>falls on the C</w:t>
      </w:r>
      <w:r>
        <w:t xml:space="preserve">ounty. </w:t>
      </w:r>
    </w:p>
    <w:p w14:paraId="098A05C0" w14:textId="78C3D955" w:rsidR="00B065A3" w:rsidRDefault="00962BC8" w:rsidP="00B065A3">
      <w:r>
        <w:t>T</w:t>
      </w:r>
      <w:r w:rsidR="00E14D0C">
        <w:t>here has also been</w:t>
      </w:r>
      <w:r w:rsidR="000F7C26">
        <w:t xml:space="preserve"> a change in the funding mechanism</w:t>
      </w:r>
      <w:r w:rsidR="00B065A3">
        <w:t xml:space="preserve">s for </w:t>
      </w:r>
      <w:r w:rsidR="000F7C26">
        <w:t xml:space="preserve">residents </w:t>
      </w:r>
      <w:r w:rsidR="00B065A3">
        <w:t xml:space="preserve">with more acute needs </w:t>
      </w:r>
      <w:r w:rsidR="00E14D0C">
        <w:t>including</w:t>
      </w:r>
      <w:r w:rsidR="00B065A3">
        <w:t>:</w:t>
      </w:r>
    </w:p>
    <w:p w14:paraId="3AB6B0F1" w14:textId="77777777" w:rsidR="00E14D0C" w:rsidRDefault="00B065A3" w:rsidP="00B065A3">
      <w:pPr>
        <w:pStyle w:val="ListParagraph"/>
        <w:numPr>
          <w:ilvl w:val="0"/>
          <w:numId w:val="19"/>
        </w:numPr>
      </w:pPr>
      <w:r>
        <w:t>Enteral feeding (</w:t>
      </w:r>
      <w:r w:rsidR="00E14D0C">
        <w:t xml:space="preserve">provision of </w:t>
      </w:r>
      <w:r w:rsidR="000F7C26">
        <w:t xml:space="preserve">nutrition </w:t>
      </w:r>
      <w:r w:rsidR="00E14D0C">
        <w:t>directly into the stomach or small bowel)</w:t>
      </w:r>
    </w:p>
    <w:p w14:paraId="693E5BB3" w14:textId="77777777" w:rsidR="00E14D0C" w:rsidRDefault="00E14D0C" w:rsidP="00B065A3">
      <w:pPr>
        <w:pStyle w:val="ListParagraph"/>
        <w:numPr>
          <w:ilvl w:val="0"/>
          <w:numId w:val="19"/>
        </w:numPr>
      </w:pPr>
      <w:r>
        <w:t>T</w:t>
      </w:r>
      <w:r w:rsidR="000F7C26">
        <w:t>ransportation for dialysis</w:t>
      </w:r>
    </w:p>
    <w:p w14:paraId="45AE9BD3" w14:textId="5CC940E9" w:rsidR="00E14D0C" w:rsidRDefault="00E14D0C" w:rsidP="00B065A3">
      <w:pPr>
        <w:pStyle w:val="ListParagraph"/>
        <w:numPr>
          <w:ilvl w:val="0"/>
          <w:numId w:val="19"/>
        </w:numPr>
      </w:pPr>
      <w:r>
        <w:t>A</w:t>
      </w:r>
      <w:r w:rsidR="000F7C26">
        <w:t>dvanced wound</w:t>
      </w:r>
      <w:r>
        <w:t xml:space="preserve"> care (including supplies and specialized </w:t>
      </w:r>
      <w:r w:rsidR="0011303D">
        <w:t>mattresses</w:t>
      </w:r>
      <w:r>
        <w:t>)</w:t>
      </w:r>
    </w:p>
    <w:p w14:paraId="04A9F3D8" w14:textId="7845E000" w:rsidR="0078209C" w:rsidRDefault="0078209C" w:rsidP="004525D8">
      <w:r>
        <w:t xml:space="preserve">These changes have resulted in homes being required to absorb more of the cost of the services into the daily operating budget. </w:t>
      </w:r>
    </w:p>
    <w:p w14:paraId="14228178" w14:textId="2DC4AD5B" w:rsidR="004525D8" w:rsidRDefault="00962BC8" w:rsidP="004525D8">
      <w:r>
        <w:t xml:space="preserve">In addition, since 2006 the </w:t>
      </w:r>
      <w:r w:rsidR="00BE50FF">
        <w:t>M</w:t>
      </w:r>
      <w:r w:rsidR="00492819">
        <w:t>inistry has</w:t>
      </w:r>
      <w:r w:rsidR="004525D8">
        <w:t xml:space="preserve"> </w:t>
      </w:r>
      <w:r>
        <w:t>mandated increases in services including Physiotherapy, Exercise classes</w:t>
      </w:r>
      <w:r w:rsidR="00ED0439">
        <w:t>, R</w:t>
      </w:r>
      <w:r>
        <w:t>egistered Practical Nurses</w:t>
      </w:r>
      <w:r w:rsidR="00ED0439">
        <w:t xml:space="preserve"> and </w:t>
      </w:r>
      <w:proofErr w:type="spellStart"/>
      <w:r w:rsidR="00ED0439">
        <w:t>Behavioural</w:t>
      </w:r>
      <w:proofErr w:type="spellEnd"/>
      <w:r w:rsidR="00ED0439">
        <w:t xml:space="preserve"> Support</w:t>
      </w:r>
      <w:r>
        <w:t>.  While n</w:t>
      </w:r>
      <w:r w:rsidR="004525D8">
        <w:t xml:space="preserve">ew </w:t>
      </w:r>
      <w:r w:rsidR="00492819">
        <w:t xml:space="preserve">funding </w:t>
      </w:r>
      <w:r>
        <w:t xml:space="preserve">has been provided </w:t>
      </w:r>
      <w:r w:rsidR="00492819">
        <w:t>to s</w:t>
      </w:r>
      <w:r>
        <w:t xml:space="preserve">upport these services, </w:t>
      </w:r>
      <w:r w:rsidR="004525D8">
        <w:t xml:space="preserve">there are increased responsibilities within the </w:t>
      </w:r>
      <w:r>
        <w:t>F</w:t>
      </w:r>
      <w:r w:rsidR="004525D8">
        <w:t xml:space="preserve">inance department and individual homes to </w:t>
      </w:r>
      <w:r w:rsidR="00B578BB">
        <w:t xml:space="preserve">track information and </w:t>
      </w:r>
      <w:r w:rsidR="004525D8">
        <w:t>manage payment</w:t>
      </w:r>
      <w:r>
        <w:t>s. P</w:t>
      </w:r>
      <w:r w:rsidR="004525D8">
        <w:t xml:space="preserve">rocessing payments and submitting data for all these </w:t>
      </w:r>
      <w:r w:rsidR="005A21CC">
        <w:t>areas</w:t>
      </w:r>
      <w:r w:rsidR="004525D8">
        <w:t xml:space="preserve"> cannot be completed once for the corporation </w:t>
      </w:r>
      <w:r w:rsidR="0078209C">
        <w:t>and need</w:t>
      </w:r>
      <w:r>
        <w:t>s</w:t>
      </w:r>
      <w:r w:rsidR="0078209C">
        <w:t xml:space="preserve"> to </w:t>
      </w:r>
      <w:r w:rsidR="004525D8">
        <w:t>be processed separately for each home. The time and cost</w:t>
      </w:r>
      <w:r>
        <w:t>s</w:t>
      </w:r>
      <w:r w:rsidR="004525D8">
        <w:t xml:space="preserve"> associated with the increased financial reporting over the past 10 years has not been allocated to the homes but </w:t>
      </w:r>
      <w:r>
        <w:t xml:space="preserve">contributes to significant workload issues and overtime in </w:t>
      </w:r>
      <w:r w:rsidR="00BE50FF">
        <w:t>the County Finance D</w:t>
      </w:r>
      <w:r w:rsidR="004525D8">
        <w:t>epartment.</w:t>
      </w:r>
    </w:p>
    <w:p w14:paraId="5A4CAA43" w14:textId="47F31A22" w:rsidR="00131517" w:rsidRDefault="004306D5" w:rsidP="00131517">
      <w:r>
        <w:t>Overall, the three homes require</w:t>
      </w:r>
      <w:r w:rsidR="00131517">
        <w:t xml:space="preserve"> funding from the Count</w:t>
      </w:r>
      <w:r w:rsidR="00BE50FF">
        <w:t xml:space="preserve">y levy in addition to </w:t>
      </w:r>
      <w:proofErr w:type="gramStart"/>
      <w:r w:rsidR="00BE50FF">
        <w:t>P</w:t>
      </w:r>
      <w:r w:rsidR="00131517">
        <w:t>rovincial</w:t>
      </w:r>
      <w:proofErr w:type="gramEnd"/>
      <w:r w:rsidR="00131517">
        <w:t xml:space="preserve"> fund</w:t>
      </w:r>
      <w:r w:rsidR="00016C05">
        <w:t>ing to support daily operations.</w:t>
      </w:r>
      <w:r w:rsidR="00131517">
        <w:t xml:space="preserve"> </w:t>
      </w:r>
    </w:p>
    <w:tbl>
      <w:tblPr>
        <w:tblStyle w:val="TableGrid"/>
        <w:tblW w:w="0" w:type="auto"/>
        <w:jc w:val="center"/>
        <w:tblLook w:val="04A0" w:firstRow="1" w:lastRow="0" w:firstColumn="1" w:lastColumn="0" w:noHBand="0" w:noVBand="1"/>
        <w:tblDescription w:val="Annual costs per resident per home"/>
      </w:tblPr>
      <w:tblGrid>
        <w:gridCol w:w="2551"/>
        <w:gridCol w:w="2693"/>
        <w:gridCol w:w="2664"/>
      </w:tblGrid>
      <w:tr w:rsidR="00131517" w14:paraId="208A8FC6" w14:textId="77777777" w:rsidTr="003F6D5A">
        <w:trPr>
          <w:trHeight w:val="441"/>
          <w:tblHeader/>
          <w:jc w:val="center"/>
        </w:trPr>
        <w:tc>
          <w:tcPr>
            <w:tcW w:w="2551" w:type="dxa"/>
            <w:shd w:val="clear" w:color="auto" w:fill="98005D"/>
            <w:vAlign w:val="center"/>
          </w:tcPr>
          <w:p w14:paraId="4A2CA820" w14:textId="77777777" w:rsidR="00131517" w:rsidRDefault="00131517" w:rsidP="00902F47">
            <w:pPr>
              <w:jc w:val="center"/>
            </w:pPr>
            <w:r>
              <w:t>Home</w:t>
            </w:r>
          </w:p>
        </w:tc>
        <w:tc>
          <w:tcPr>
            <w:tcW w:w="2693" w:type="dxa"/>
            <w:shd w:val="clear" w:color="auto" w:fill="98005D"/>
            <w:vAlign w:val="center"/>
          </w:tcPr>
          <w:p w14:paraId="2E3AC106" w14:textId="501732C8" w:rsidR="00131517" w:rsidRDefault="00131517" w:rsidP="00902F47">
            <w:pPr>
              <w:jc w:val="center"/>
            </w:pPr>
            <w:r>
              <w:t>2017 Operating Levy</w:t>
            </w:r>
            <w:r w:rsidR="00016C05">
              <w:t xml:space="preserve"> Requirement *</w:t>
            </w:r>
          </w:p>
        </w:tc>
        <w:tc>
          <w:tcPr>
            <w:tcW w:w="2664" w:type="dxa"/>
            <w:shd w:val="clear" w:color="auto" w:fill="98005D"/>
            <w:vAlign w:val="center"/>
          </w:tcPr>
          <w:p w14:paraId="1F0BBE27" w14:textId="77777777" w:rsidR="00131517" w:rsidRDefault="00131517" w:rsidP="00902F47">
            <w:pPr>
              <w:jc w:val="center"/>
            </w:pPr>
            <w:r>
              <w:t>Cost per Resident</w:t>
            </w:r>
          </w:p>
        </w:tc>
      </w:tr>
      <w:tr w:rsidR="00131517" w14:paraId="11C36E1A" w14:textId="77777777" w:rsidTr="00902F47">
        <w:trPr>
          <w:trHeight w:val="688"/>
          <w:jc w:val="center"/>
        </w:trPr>
        <w:tc>
          <w:tcPr>
            <w:tcW w:w="2551" w:type="dxa"/>
            <w:vAlign w:val="center"/>
          </w:tcPr>
          <w:p w14:paraId="7EBA5BD8" w14:textId="77777777" w:rsidR="00131517" w:rsidRDefault="00131517" w:rsidP="00902F47">
            <w:pPr>
              <w:jc w:val="center"/>
            </w:pPr>
            <w:r>
              <w:t>Grey Gables</w:t>
            </w:r>
          </w:p>
          <w:p w14:paraId="4E626128" w14:textId="77777777" w:rsidR="00131517" w:rsidRDefault="00131517" w:rsidP="00902F47">
            <w:pPr>
              <w:jc w:val="center"/>
            </w:pPr>
            <w:r>
              <w:t>(66 residents)</w:t>
            </w:r>
          </w:p>
        </w:tc>
        <w:tc>
          <w:tcPr>
            <w:tcW w:w="2693" w:type="dxa"/>
            <w:vAlign w:val="center"/>
          </w:tcPr>
          <w:p w14:paraId="2F3626C1" w14:textId="77777777" w:rsidR="00131517" w:rsidRDefault="00131517" w:rsidP="00902F47">
            <w:pPr>
              <w:jc w:val="center"/>
            </w:pPr>
            <w:r>
              <w:t>$1,070,771</w:t>
            </w:r>
          </w:p>
        </w:tc>
        <w:tc>
          <w:tcPr>
            <w:tcW w:w="2664" w:type="dxa"/>
            <w:vAlign w:val="center"/>
          </w:tcPr>
          <w:p w14:paraId="4B79912E" w14:textId="77777777" w:rsidR="00131517" w:rsidRDefault="00131517" w:rsidP="00902F47">
            <w:pPr>
              <w:jc w:val="center"/>
            </w:pPr>
            <w:r>
              <w:t>$16,224</w:t>
            </w:r>
          </w:p>
        </w:tc>
      </w:tr>
      <w:tr w:rsidR="00131517" w14:paraId="56ACF55C" w14:textId="77777777" w:rsidTr="00902F47">
        <w:trPr>
          <w:trHeight w:val="699"/>
          <w:jc w:val="center"/>
        </w:trPr>
        <w:tc>
          <w:tcPr>
            <w:tcW w:w="2551" w:type="dxa"/>
            <w:vAlign w:val="center"/>
          </w:tcPr>
          <w:p w14:paraId="11638D80" w14:textId="77777777" w:rsidR="00131517" w:rsidRDefault="00131517" w:rsidP="00902F47">
            <w:pPr>
              <w:jc w:val="center"/>
            </w:pPr>
            <w:r>
              <w:t>Rockwood Terrace</w:t>
            </w:r>
          </w:p>
          <w:p w14:paraId="333827DD" w14:textId="77777777" w:rsidR="00131517" w:rsidRDefault="00131517" w:rsidP="00902F47">
            <w:pPr>
              <w:jc w:val="center"/>
            </w:pPr>
            <w:r>
              <w:t>(100 residents)</w:t>
            </w:r>
          </w:p>
        </w:tc>
        <w:tc>
          <w:tcPr>
            <w:tcW w:w="2693" w:type="dxa"/>
            <w:vAlign w:val="center"/>
          </w:tcPr>
          <w:p w14:paraId="0C5E2440" w14:textId="77777777" w:rsidR="00131517" w:rsidRDefault="00131517" w:rsidP="00902F47">
            <w:pPr>
              <w:jc w:val="center"/>
            </w:pPr>
            <w:r>
              <w:t>$1,210785</w:t>
            </w:r>
          </w:p>
        </w:tc>
        <w:tc>
          <w:tcPr>
            <w:tcW w:w="2664" w:type="dxa"/>
            <w:vAlign w:val="center"/>
          </w:tcPr>
          <w:p w14:paraId="12A1725C" w14:textId="77777777" w:rsidR="00131517" w:rsidRDefault="00131517" w:rsidP="00902F47">
            <w:pPr>
              <w:jc w:val="center"/>
            </w:pPr>
            <w:r>
              <w:t>$12,108</w:t>
            </w:r>
          </w:p>
        </w:tc>
      </w:tr>
      <w:tr w:rsidR="00131517" w14:paraId="006DF0C1" w14:textId="77777777" w:rsidTr="00902F47">
        <w:trPr>
          <w:trHeight w:val="708"/>
          <w:jc w:val="center"/>
        </w:trPr>
        <w:tc>
          <w:tcPr>
            <w:tcW w:w="2551" w:type="dxa"/>
            <w:vAlign w:val="center"/>
          </w:tcPr>
          <w:p w14:paraId="444D9E44" w14:textId="77777777" w:rsidR="00131517" w:rsidRDefault="00131517" w:rsidP="00902F47">
            <w:pPr>
              <w:jc w:val="center"/>
            </w:pPr>
            <w:r>
              <w:t>Lee Manor</w:t>
            </w:r>
          </w:p>
          <w:p w14:paraId="70BD7A5B" w14:textId="77777777" w:rsidR="00131517" w:rsidRDefault="00131517" w:rsidP="00902F47">
            <w:pPr>
              <w:jc w:val="center"/>
            </w:pPr>
            <w:r>
              <w:t>(150 residents)</w:t>
            </w:r>
          </w:p>
        </w:tc>
        <w:tc>
          <w:tcPr>
            <w:tcW w:w="2693" w:type="dxa"/>
            <w:vAlign w:val="center"/>
          </w:tcPr>
          <w:p w14:paraId="300BE53A" w14:textId="77777777" w:rsidR="00131517" w:rsidRDefault="00131517" w:rsidP="00902F47">
            <w:pPr>
              <w:jc w:val="center"/>
            </w:pPr>
            <w:r>
              <w:t>$1,715,268</w:t>
            </w:r>
          </w:p>
        </w:tc>
        <w:tc>
          <w:tcPr>
            <w:tcW w:w="2664" w:type="dxa"/>
            <w:vAlign w:val="center"/>
          </w:tcPr>
          <w:p w14:paraId="5365B8C3" w14:textId="77777777" w:rsidR="00131517" w:rsidRDefault="00131517" w:rsidP="00902F47">
            <w:pPr>
              <w:jc w:val="center"/>
            </w:pPr>
            <w:r>
              <w:t>$11,435</w:t>
            </w:r>
          </w:p>
        </w:tc>
      </w:tr>
    </w:tbl>
    <w:p w14:paraId="42C94BE8" w14:textId="7C30C975" w:rsidR="00962DDA" w:rsidRPr="00016C05" w:rsidRDefault="00016C05" w:rsidP="00016C05">
      <w:pPr>
        <w:pStyle w:val="ListParagraph"/>
        <w:rPr>
          <w:sz w:val="20"/>
          <w:szCs w:val="20"/>
        </w:rPr>
      </w:pPr>
      <w:r w:rsidRPr="00016C05">
        <w:rPr>
          <w:sz w:val="20"/>
          <w:szCs w:val="20"/>
        </w:rPr>
        <w:t>*</w:t>
      </w:r>
      <w:r>
        <w:rPr>
          <w:sz w:val="20"/>
          <w:szCs w:val="20"/>
        </w:rPr>
        <w:t xml:space="preserve">Note- </w:t>
      </w:r>
      <w:r w:rsidRPr="00016C05">
        <w:rPr>
          <w:sz w:val="20"/>
          <w:szCs w:val="20"/>
        </w:rPr>
        <w:t>Does not include the cost of capital</w:t>
      </w:r>
    </w:p>
    <w:p w14:paraId="62BC5295" w14:textId="333C05CF" w:rsidR="0034272F" w:rsidRPr="00016C05" w:rsidRDefault="00C31BBD" w:rsidP="00016C05">
      <w:pPr>
        <w:pStyle w:val="Heading3"/>
      </w:pPr>
      <w:r w:rsidRPr="00016C05">
        <w:lastRenderedPageBreak/>
        <w:t>Historical Costs</w:t>
      </w:r>
      <w:r w:rsidR="0016479A" w:rsidRPr="00016C05">
        <w:t xml:space="preserve"> and Future Projections</w:t>
      </w:r>
    </w:p>
    <w:p w14:paraId="7C108671" w14:textId="77777777" w:rsidR="0016479A" w:rsidRDefault="0016479A" w:rsidP="0016479A">
      <w:pPr>
        <w:rPr>
          <w:rStyle w:val="IntenseEmphasis"/>
          <w:b w:val="0"/>
          <w:lang w:val="en-CA"/>
        </w:rPr>
      </w:pPr>
      <w:r>
        <w:rPr>
          <w:bCs/>
          <w:noProof/>
          <w:lang w:val="en-CA" w:eastAsia="en-CA"/>
        </w:rPr>
        <w:drawing>
          <wp:inline distT="0" distB="0" distL="0" distR="0" wp14:anchorId="7AFEA7E0" wp14:editId="6373F9F9">
            <wp:extent cx="5486400" cy="3200400"/>
            <wp:effectExtent l="0" t="0" r="19050" b="19050"/>
            <wp:docPr id="3" name="Chart 3" descr="Long term care operating requirements. Table climbing from 18.8 million in 2007 to 27 million in 2017 to a projected 40 million in 2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029444" w14:textId="39C6A2DC" w:rsidR="0016479A" w:rsidRDefault="0016479A" w:rsidP="0016479A">
      <w:pPr>
        <w:rPr>
          <w:rStyle w:val="IntenseEmphasis"/>
          <w:b w:val="0"/>
          <w:lang w:val="en-CA"/>
        </w:rPr>
      </w:pPr>
      <w:r>
        <w:rPr>
          <w:rStyle w:val="IntenseEmphasis"/>
          <w:b w:val="0"/>
          <w:lang w:val="en-CA"/>
        </w:rPr>
        <w:t>In the 10 year period 2007-2017, the long term care operating budget for the County’s three long term care facilities has increased more than 43% or an average of more than 4% annually.  In that same period, the consumer price index has increased an average of 2.1% annually. Assuming the status quo and extending this trend out to 2027 we project operating expenditures to increase to nearly $39M annually.</w:t>
      </w:r>
    </w:p>
    <w:p w14:paraId="14629AD5" w14:textId="77777777" w:rsidR="0016479A" w:rsidRDefault="0016479A">
      <w:pPr>
        <w:rPr>
          <w:rStyle w:val="IntenseEmphasis"/>
          <w:b w:val="0"/>
          <w:lang w:val="en-CA"/>
        </w:rPr>
      </w:pPr>
      <w:r>
        <w:rPr>
          <w:rStyle w:val="IntenseEmphasis"/>
          <w:b w:val="0"/>
          <w:lang w:val="en-CA"/>
        </w:rPr>
        <w:br w:type="page"/>
      </w:r>
    </w:p>
    <w:p w14:paraId="2A564AC3" w14:textId="37C37744" w:rsidR="0016479A" w:rsidRDefault="0016479A" w:rsidP="0016479A">
      <w:pPr>
        <w:rPr>
          <w:rStyle w:val="IntenseEmphasis"/>
          <w:b w:val="0"/>
          <w:lang w:val="en-CA"/>
        </w:rPr>
      </w:pPr>
      <w:r>
        <w:rPr>
          <w:rStyle w:val="IntenseEmphasis"/>
          <w:b w:val="0"/>
          <w:lang w:val="en-CA"/>
        </w:rPr>
        <w:lastRenderedPageBreak/>
        <w:t>Currently, long term care is supported by o</w:t>
      </w:r>
      <w:r w:rsidR="00BE50FF">
        <w:rPr>
          <w:rStyle w:val="IntenseEmphasis"/>
          <w:b w:val="0"/>
          <w:lang w:val="en-CA"/>
        </w:rPr>
        <w:t>perating funds provided by the P</w:t>
      </w:r>
      <w:r>
        <w:rPr>
          <w:rStyle w:val="IntenseEmphasis"/>
          <w:b w:val="0"/>
          <w:lang w:val="en-CA"/>
        </w:rPr>
        <w:t>rovince, resident fees and the municipal levy. The municipal levy portion of the operating and capital costs on a per bed basis has increased nearly 64% in the period 2007-17.  If this trend continues and there is nothing done to restructure the cost base, the annual cost to fund each bed is projected to rise to nearly $32,000 by 2027</w:t>
      </w:r>
    </w:p>
    <w:p w14:paraId="60C32E50" w14:textId="3AD49F42" w:rsidR="003F6D5A" w:rsidRDefault="003F6D5A" w:rsidP="0016479A">
      <w:pPr>
        <w:rPr>
          <w:rStyle w:val="IntenseEmphasis"/>
          <w:b w:val="0"/>
          <w:lang w:val="en-CA"/>
        </w:rPr>
      </w:pPr>
      <w:r>
        <w:rPr>
          <w:bCs/>
          <w:noProof/>
          <w:lang w:val="en-CA" w:eastAsia="en-CA"/>
        </w:rPr>
        <w:drawing>
          <wp:inline distT="0" distB="0" distL="0" distR="0" wp14:anchorId="09EE8BE9" wp14:editId="1F7A1076">
            <wp:extent cx="5486400" cy="3200400"/>
            <wp:effectExtent l="0" t="0" r="19050" b="19050"/>
            <wp:docPr id="5" name="Chart 5" descr="Annual levy contribution per bed. $11,870 in 2007. $19,461 in 2017 and projected $31,904 in 2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88B9C3" w14:textId="71F66AFD" w:rsidR="00C31BBD" w:rsidRPr="00016C05" w:rsidRDefault="00016C05" w:rsidP="00016C05">
      <w:pPr>
        <w:ind w:firstLine="720"/>
        <w:rPr>
          <w:sz w:val="20"/>
          <w:szCs w:val="20"/>
          <w:lang w:val="en-CA"/>
        </w:rPr>
      </w:pPr>
      <w:r>
        <w:rPr>
          <w:sz w:val="20"/>
          <w:szCs w:val="20"/>
          <w:lang w:val="en-CA"/>
        </w:rPr>
        <w:t>*Note- T</w:t>
      </w:r>
      <w:r w:rsidRPr="00016C05">
        <w:rPr>
          <w:sz w:val="20"/>
          <w:szCs w:val="20"/>
          <w:lang w:val="en-CA"/>
        </w:rPr>
        <w:t xml:space="preserve">his </w:t>
      </w:r>
      <w:r>
        <w:rPr>
          <w:sz w:val="20"/>
          <w:szCs w:val="20"/>
          <w:lang w:val="en-CA"/>
        </w:rPr>
        <w:t xml:space="preserve">is a combined amount that </w:t>
      </w:r>
      <w:r w:rsidRPr="00016C05">
        <w:rPr>
          <w:sz w:val="20"/>
          <w:szCs w:val="20"/>
          <w:lang w:val="en-CA"/>
        </w:rPr>
        <w:t>includes capital and operating costs</w:t>
      </w:r>
    </w:p>
    <w:p w14:paraId="7DF590C9" w14:textId="77777777" w:rsidR="00C31BBD" w:rsidRPr="00C31BBD" w:rsidRDefault="00C31BBD" w:rsidP="00C31BBD">
      <w:pPr>
        <w:rPr>
          <w:lang w:val="en-CA"/>
        </w:rPr>
      </w:pPr>
    </w:p>
    <w:p w14:paraId="7BDA1D33" w14:textId="77777777" w:rsidR="00C31BBD" w:rsidRDefault="00C31BBD" w:rsidP="00C31BBD">
      <w:pPr>
        <w:ind w:firstLine="720"/>
        <w:rPr>
          <w:lang w:val="en-CA"/>
        </w:rPr>
        <w:sectPr w:rsidR="00C31BBD" w:rsidSect="00C97EE6">
          <w:footerReference w:type="default" r:id="rId16"/>
          <w:pgSz w:w="12240" w:h="15840"/>
          <w:pgMar w:top="1440" w:right="1440" w:bottom="1440" w:left="1440" w:header="720" w:footer="720" w:gutter="0"/>
          <w:cols w:space="720"/>
          <w:docGrid w:linePitch="360"/>
        </w:sectPr>
      </w:pPr>
    </w:p>
    <w:tbl>
      <w:tblPr>
        <w:tblW w:w="4987" w:type="pct"/>
        <w:tblLayout w:type="fixed"/>
        <w:tblLook w:val="04A0" w:firstRow="1" w:lastRow="0" w:firstColumn="1" w:lastColumn="0" w:noHBand="0" w:noVBand="1"/>
      </w:tblPr>
      <w:tblGrid>
        <w:gridCol w:w="2084"/>
        <w:gridCol w:w="1146"/>
        <w:gridCol w:w="1280"/>
        <w:gridCol w:w="239"/>
        <w:gridCol w:w="1178"/>
        <w:gridCol w:w="1138"/>
        <w:gridCol w:w="239"/>
        <w:gridCol w:w="1451"/>
        <w:gridCol w:w="239"/>
        <w:gridCol w:w="1175"/>
        <w:gridCol w:w="1464"/>
        <w:gridCol w:w="239"/>
        <w:gridCol w:w="1270"/>
      </w:tblGrid>
      <w:tr w:rsidR="00C31BBD" w:rsidRPr="00DF3644" w14:paraId="3F2DC123" w14:textId="77777777" w:rsidTr="00EE5C68">
        <w:trPr>
          <w:trHeight w:val="300"/>
        </w:trPr>
        <w:tc>
          <w:tcPr>
            <w:tcW w:w="1716" w:type="pct"/>
            <w:gridSpan w:val="3"/>
            <w:tcBorders>
              <w:top w:val="nil"/>
              <w:left w:val="nil"/>
              <w:bottom w:val="nil"/>
              <w:right w:val="nil"/>
            </w:tcBorders>
            <w:shd w:val="clear" w:color="auto" w:fill="auto"/>
            <w:noWrap/>
            <w:vAlign w:val="bottom"/>
            <w:hideMark/>
          </w:tcPr>
          <w:p w14:paraId="3607F99A"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b/>
                <w:bCs/>
                <w:color w:val="000000"/>
                <w:sz w:val="22"/>
                <w:szCs w:val="22"/>
                <w:lang w:val="en-CA" w:eastAsia="en-CA"/>
              </w:rPr>
              <w:lastRenderedPageBreak/>
              <w:t>Lon</w:t>
            </w:r>
            <w:r>
              <w:rPr>
                <w:rFonts w:ascii="Calibri" w:eastAsia="Times New Roman" w:hAnsi="Calibri" w:cs="Times New Roman"/>
                <w:b/>
                <w:bCs/>
                <w:color w:val="000000"/>
                <w:sz w:val="22"/>
                <w:szCs w:val="22"/>
                <w:lang w:val="en-CA" w:eastAsia="en-CA"/>
              </w:rPr>
              <w:t>g Term Care - Budgeted Taxation F</w:t>
            </w:r>
            <w:r w:rsidRPr="00DF3644">
              <w:rPr>
                <w:rFonts w:ascii="Calibri" w:eastAsia="Times New Roman" w:hAnsi="Calibri" w:cs="Times New Roman"/>
                <w:b/>
                <w:bCs/>
                <w:color w:val="000000"/>
                <w:sz w:val="22"/>
                <w:szCs w:val="22"/>
                <w:lang w:val="en-CA" w:eastAsia="en-CA"/>
              </w:rPr>
              <w:t>unding</w:t>
            </w:r>
          </w:p>
        </w:tc>
        <w:tc>
          <w:tcPr>
            <w:tcW w:w="91" w:type="pct"/>
            <w:tcBorders>
              <w:top w:val="nil"/>
              <w:left w:val="nil"/>
              <w:bottom w:val="nil"/>
              <w:right w:val="nil"/>
            </w:tcBorders>
            <w:shd w:val="clear" w:color="auto" w:fill="auto"/>
            <w:noWrap/>
            <w:vAlign w:val="bottom"/>
            <w:hideMark/>
          </w:tcPr>
          <w:p w14:paraId="6AFF638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8" w:type="pct"/>
            <w:tcBorders>
              <w:top w:val="nil"/>
              <w:left w:val="nil"/>
              <w:bottom w:val="nil"/>
              <w:right w:val="nil"/>
            </w:tcBorders>
            <w:shd w:val="clear" w:color="auto" w:fill="auto"/>
            <w:noWrap/>
            <w:vAlign w:val="bottom"/>
            <w:hideMark/>
          </w:tcPr>
          <w:p w14:paraId="629A4965"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33" w:type="pct"/>
            <w:tcBorders>
              <w:top w:val="nil"/>
              <w:left w:val="nil"/>
              <w:bottom w:val="nil"/>
              <w:right w:val="nil"/>
            </w:tcBorders>
            <w:shd w:val="clear" w:color="auto" w:fill="auto"/>
            <w:noWrap/>
            <w:vAlign w:val="bottom"/>
            <w:hideMark/>
          </w:tcPr>
          <w:p w14:paraId="53FEA499"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6AFD538D"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2" w:type="pct"/>
            <w:tcBorders>
              <w:top w:val="nil"/>
              <w:left w:val="nil"/>
              <w:bottom w:val="nil"/>
              <w:right w:val="nil"/>
            </w:tcBorders>
            <w:shd w:val="clear" w:color="auto" w:fill="auto"/>
            <w:noWrap/>
            <w:vAlign w:val="bottom"/>
            <w:hideMark/>
          </w:tcPr>
          <w:p w14:paraId="137B3D7D"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79F2A239"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7" w:type="pct"/>
            <w:tcBorders>
              <w:top w:val="nil"/>
              <w:left w:val="nil"/>
              <w:bottom w:val="nil"/>
              <w:right w:val="nil"/>
            </w:tcBorders>
            <w:shd w:val="clear" w:color="auto" w:fill="auto"/>
            <w:noWrap/>
            <w:vAlign w:val="bottom"/>
            <w:hideMark/>
          </w:tcPr>
          <w:p w14:paraId="6C465F4A"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7" w:type="pct"/>
            <w:tcBorders>
              <w:top w:val="nil"/>
              <w:left w:val="nil"/>
              <w:bottom w:val="nil"/>
              <w:right w:val="nil"/>
            </w:tcBorders>
            <w:shd w:val="clear" w:color="auto" w:fill="auto"/>
            <w:noWrap/>
            <w:vAlign w:val="bottom"/>
            <w:hideMark/>
          </w:tcPr>
          <w:p w14:paraId="62C27A04"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59CFC717"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2" w:type="pct"/>
            <w:tcBorders>
              <w:top w:val="nil"/>
              <w:left w:val="nil"/>
              <w:bottom w:val="nil"/>
              <w:right w:val="nil"/>
            </w:tcBorders>
            <w:shd w:val="clear" w:color="auto" w:fill="auto"/>
            <w:noWrap/>
            <w:vAlign w:val="bottom"/>
            <w:hideMark/>
          </w:tcPr>
          <w:p w14:paraId="13159CD1"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r>
      <w:tr w:rsidR="00C31BBD" w:rsidRPr="00DF3644" w14:paraId="55D2973F" w14:textId="77777777" w:rsidTr="00EE5C68">
        <w:trPr>
          <w:trHeight w:val="300"/>
        </w:trPr>
        <w:tc>
          <w:tcPr>
            <w:tcW w:w="1229" w:type="pct"/>
            <w:gridSpan w:val="2"/>
            <w:tcBorders>
              <w:top w:val="nil"/>
              <w:left w:val="nil"/>
              <w:bottom w:val="nil"/>
              <w:right w:val="nil"/>
            </w:tcBorders>
            <w:shd w:val="clear" w:color="auto" w:fill="auto"/>
            <w:noWrap/>
            <w:vAlign w:val="bottom"/>
            <w:hideMark/>
          </w:tcPr>
          <w:p w14:paraId="595732EE"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b/>
                <w:bCs/>
                <w:color w:val="000000"/>
                <w:sz w:val="22"/>
                <w:szCs w:val="22"/>
                <w:lang w:val="en-CA" w:eastAsia="en-CA"/>
              </w:rPr>
              <w:t>Local Municipal Levy Allocation</w:t>
            </w:r>
          </w:p>
        </w:tc>
        <w:tc>
          <w:tcPr>
            <w:tcW w:w="487" w:type="pct"/>
            <w:tcBorders>
              <w:top w:val="nil"/>
              <w:left w:val="nil"/>
              <w:bottom w:val="nil"/>
              <w:right w:val="nil"/>
            </w:tcBorders>
            <w:shd w:val="clear" w:color="auto" w:fill="auto"/>
            <w:noWrap/>
            <w:vAlign w:val="bottom"/>
            <w:hideMark/>
          </w:tcPr>
          <w:p w14:paraId="0149BECA"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0528F532"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8" w:type="pct"/>
            <w:tcBorders>
              <w:top w:val="nil"/>
              <w:left w:val="nil"/>
              <w:bottom w:val="nil"/>
              <w:right w:val="nil"/>
            </w:tcBorders>
            <w:shd w:val="clear" w:color="auto" w:fill="auto"/>
            <w:noWrap/>
            <w:vAlign w:val="bottom"/>
            <w:hideMark/>
          </w:tcPr>
          <w:p w14:paraId="0F53404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33" w:type="pct"/>
            <w:tcBorders>
              <w:top w:val="nil"/>
              <w:left w:val="nil"/>
              <w:bottom w:val="nil"/>
              <w:right w:val="nil"/>
            </w:tcBorders>
            <w:shd w:val="clear" w:color="auto" w:fill="auto"/>
            <w:noWrap/>
            <w:vAlign w:val="bottom"/>
            <w:hideMark/>
          </w:tcPr>
          <w:p w14:paraId="07D5C33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2EAEE7E4"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2" w:type="pct"/>
            <w:tcBorders>
              <w:top w:val="nil"/>
              <w:left w:val="nil"/>
              <w:bottom w:val="nil"/>
              <w:right w:val="nil"/>
            </w:tcBorders>
            <w:shd w:val="clear" w:color="auto" w:fill="auto"/>
            <w:noWrap/>
            <w:vAlign w:val="bottom"/>
            <w:hideMark/>
          </w:tcPr>
          <w:p w14:paraId="0702DBED"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13BBD6E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7" w:type="pct"/>
            <w:tcBorders>
              <w:top w:val="nil"/>
              <w:left w:val="nil"/>
              <w:bottom w:val="nil"/>
              <w:right w:val="nil"/>
            </w:tcBorders>
            <w:shd w:val="clear" w:color="auto" w:fill="auto"/>
            <w:noWrap/>
            <w:vAlign w:val="bottom"/>
            <w:hideMark/>
          </w:tcPr>
          <w:p w14:paraId="282EFAF3"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7" w:type="pct"/>
            <w:tcBorders>
              <w:top w:val="nil"/>
              <w:left w:val="nil"/>
              <w:bottom w:val="nil"/>
              <w:right w:val="nil"/>
            </w:tcBorders>
            <w:shd w:val="clear" w:color="auto" w:fill="auto"/>
            <w:noWrap/>
            <w:vAlign w:val="bottom"/>
            <w:hideMark/>
          </w:tcPr>
          <w:p w14:paraId="2D5DF483"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087A1894"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2" w:type="pct"/>
            <w:tcBorders>
              <w:top w:val="nil"/>
              <w:left w:val="nil"/>
              <w:bottom w:val="nil"/>
              <w:right w:val="nil"/>
            </w:tcBorders>
            <w:shd w:val="clear" w:color="auto" w:fill="auto"/>
            <w:noWrap/>
            <w:vAlign w:val="bottom"/>
            <w:hideMark/>
          </w:tcPr>
          <w:p w14:paraId="4F0D8C77"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r>
      <w:tr w:rsidR="00C31BBD" w:rsidRPr="00DF3644" w14:paraId="44F1AF2D" w14:textId="77777777" w:rsidTr="00EE5C68">
        <w:trPr>
          <w:trHeight w:val="300"/>
        </w:trPr>
        <w:tc>
          <w:tcPr>
            <w:tcW w:w="5000" w:type="pct"/>
            <w:gridSpan w:val="13"/>
            <w:tcBorders>
              <w:top w:val="nil"/>
              <w:left w:val="nil"/>
              <w:bottom w:val="nil"/>
              <w:right w:val="nil"/>
            </w:tcBorders>
            <w:shd w:val="clear" w:color="auto" w:fill="auto"/>
            <w:noWrap/>
            <w:vAlign w:val="bottom"/>
            <w:hideMark/>
          </w:tcPr>
          <w:p w14:paraId="0B011E3D"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b/>
                <w:bCs/>
                <w:color w:val="000000"/>
                <w:sz w:val="22"/>
                <w:szCs w:val="22"/>
                <w:lang w:val="en-CA" w:eastAsia="en-CA"/>
              </w:rPr>
              <w:t>Comparison from 2007 to 2017</w:t>
            </w:r>
          </w:p>
        </w:tc>
      </w:tr>
      <w:tr w:rsidR="00C31BBD" w:rsidRPr="00DF3644" w14:paraId="01EE3135" w14:textId="77777777" w:rsidTr="00EE5C68">
        <w:trPr>
          <w:trHeight w:val="300"/>
        </w:trPr>
        <w:tc>
          <w:tcPr>
            <w:tcW w:w="793" w:type="pct"/>
            <w:tcBorders>
              <w:top w:val="nil"/>
              <w:left w:val="nil"/>
              <w:bottom w:val="nil"/>
              <w:right w:val="nil"/>
            </w:tcBorders>
            <w:shd w:val="clear" w:color="auto" w:fill="auto"/>
            <w:noWrap/>
            <w:vAlign w:val="bottom"/>
            <w:hideMark/>
          </w:tcPr>
          <w:p w14:paraId="06DA20DA" w14:textId="77777777" w:rsidR="00C31BBD" w:rsidRPr="00DF3644" w:rsidRDefault="00C31BBD" w:rsidP="00EE5C68">
            <w:pPr>
              <w:spacing w:after="0" w:line="240" w:lineRule="auto"/>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Projected 2017 to 2027</w:t>
            </w:r>
          </w:p>
        </w:tc>
        <w:tc>
          <w:tcPr>
            <w:tcW w:w="436" w:type="pct"/>
            <w:tcBorders>
              <w:top w:val="nil"/>
              <w:left w:val="nil"/>
              <w:bottom w:val="nil"/>
              <w:right w:val="nil"/>
            </w:tcBorders>
            <w:shd w:val="clear" w:color="auto" w:fill="auto"/>
            <w:noWrap/>
            <w:vAlign w:val="bottom"/>
            <w:hideMark/>
          </w:tcPr>
          <w:p w14:paraId="792AF3F4"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7" w:type="pct"/>
            <w:tcBorders>
              <w:top w:val="nil"/>
              <w:left w:val="nil"/>
              <w:bottom w:val="nil"/>
              <w:right w:val="nil"/>
            </w:tcBorders>
            <w:shd w:val="clear" w:color="auto" w:fill="auto"/>
            <w:noWrap/>
            <w:vAlign w:val="bottom"/>
            <w:hideMark/>
          </w:tcPr>
          <w:p w14:paraId="7FDDD0A5"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7B9A57A1"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8" w:type="pct"/>
            <w:tcBorders>
              <w:top w:val="nil"/>
              <w:left w:val="nil"/>
              <w:bottom w:val="nil"/>
              <w:right w:val="nil"/>
            </w:tcBorders>
            <w:shd w:val="clear" w:color="auto" w:fill="auto"/>
            <w:noWrap/>
            <w:vAlign w:val="bottom"/>
            <w:hideMark/>
          </w:tcPr>
          <w:p w14:paraId="6B20A7E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33" w:type="pct"/>
            <w:tcBorders>
              <w:top w:val="nil"/>
              <w:left w:val="nil"/>
              <w:bottom w:val="nil"/>
              <w:right w:val="nil"/>
            </w:tcBorders>
            <w:shd w:val="clear" w:color="auto" w:fill="auto"/>
            <w:noWrap/>
            <w:vAlign w:val="bottom"/>
            <w:hideMark/>
          </w:tcPr>
          <w:p w14:paraId="5ED6693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628E44A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2" w:type="pct"/>
            <w:tcBorders>
              <w:top w:val="nil"/>
              <w:left w:val="nil"/>
              <w:bottom w:val="nil"/>
              <w:right w:val="nil"/>
            </w:tcBorders>
            <w:shd w:val="clear" w:color="auto" w:fill="auto"/>
            <w:noWrap/>
            <w:vAlign w:val="bottom"/>
            <w:hideMark/>
          </w:tcPr>
          <w:p w14:paraId="06ECC24B"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43E661E1"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7" w:type="pct"/>
            <w:tcBorders>
              <w:top w:val="nil"/>
              <w:left w:val="nil"/>
              <w:bottom w:val="nil"/>
              <w:right w:val="nil"/>
            </w:tcBorders>
            <w:shd w:val="clear" w:color="auto" w:fill="auto"/>
            <w:noWrap/>
            <w:vAlign w:val="bottom"/>
            <w:hideMark/>
          </w:tcPr>
          <w:p w14:paraId="7845DC23"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7" w:type="pct"/>
            <w:tcBorders>
              <w:top w:val="nil"/>
              <w:left w:val="nil"/>
              <w:bottom w:val="nil"/>
              <w:right w:val="nil"/>
            </w:tcBorders>
            <w:shd w:val="clear" w:color="auto" w:fill="auto"/>
            <w:noWrap/>
            <w:vAlign w:val="bottom"/>
            <w:hideMark/>
          </w:tcPr>
          <w:p w14:paraId="2B1B1E0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4A5BE15D"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2" w:type="pct"/>
            <w:tcBorders>
              <w:top w:val="nil"/>
              <w:left w:val="nil"/>
              <w:bottom w:val="nil"/>
              <w:right w:val="nil"/>
            </w:tcBorders>
            <w:shd w:val="clear" w:color="auto" w:fill="auto"/>
            <w:noWrap/>
            <w:vAlign w:val="bottom"/>
            <w:hideMark/>
          </w:tcPr>
          <w:p w14:paraId="41E1791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r>
      <w:tr w:rsidR="00C31BBD" w:rsidRPr="00DF3644" w14:paraId="54A66F32" w14:textId="77777777" w:rsidTr="00EE5C68">
        <w:trPr>
          <w:trHeight w:val="300"/>
        </w:trPr>
        <w:tc>
          <w:tcPr>
            <w:tcW w:w="793" w:type="pct"/>
            <w:tcBorders>
              <w:top w:val="nil"/>
              <w:left w:val="nil"/>
              <w:bottom w:val="nil"/>
              <w:right w:val="nil"/>
            </w:tcBorders>
            <w:shd w:val="clear" w:color="auto" w:fill="auto"/>
            <w:noWrap/>
            <w:vAlign w:val="bottom"/>
            <w:hideMark/>
          </w:tcPr>
          <w:p w14:paraId="29E2824A" w14:textId="77777777" w:rsidR="00C31BBD" w:rsidRPr="00DF3644" w:rsidRDefault="00C31BBD" w:rsidP="00EE5C68">
            <w:pPr>
              <w:spacing w:after="0" w:line="240" w:lineRule="auto"/>
              <w:rPr>
                <w:rFonts w:ascii="Calibri" w:eastAsia="Times New Roman" w:hAnsi="Calibri" w:cs="Times New Roman"/>
                <w:b/>
                <w:bCs/>
                <w:color w:val="000000"/>
                <w:sz w:val="22"/>
                <w:szCs w:val="22"/>
                <w:lang w:val="en-CA" w:eastAsia="en-CA"/>
              </w:rPr>
            </w:pPr>
          </w:p>
        </w:tc>
        <w:tc>
          <w:tcPr>
            <w:tcW w:w="436" w:type="pct"/>
            <w:tcBorders>
              <w:top w:val="nil"/>
              <w:left w:val="nil"/>
              <w:bottom w:val="nil"/>
              <w:right w:val="nil"/>
            </w:tcBorders>
            <w:shd w:val="clear" w:color="auto" w:fill="auto"/>
            <w:noWrap/>
            <w:vAlign w:val="bottom"/>
            <w:hideMark/>
          </w:tcPr>
          <w:p w14:paraId="71AD2806"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7" w:type="pct"/>
            <w:tcBorders>
              <w:top w:val="nil"/>
              <w:left w:val="nil"/>
              <w:bottom w:val="nil"/>
              <w:right w:val="nil"/>
            </w:tcBorders>
            <w:shd w:val="clear" w:color="auto" w:fill="auto"/>
            <w:noWrap/>
            <w:vAlign w:val="bottom"/>
            <w:hideMark/>
          </w:tcPr>
          <w:p w14:paraId="1AE5688A"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6DE8416F"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8" w:type="pct"/>
            <w:tcBorders>
              <w:top w:val="nil"/>
              <w:left w:val="nil"/>
              <w:bottom w:val="nil"/>
              <w:right w:val="nil"/>
            </w:tcBorders>
            <w:shd w:val="clear" w:color="auto" w:fill="auto"/>
            <w:noWrap/>
            <w:vAlign w:val="bottom"/>
            <w:hideMark/>
          </w:tcPr>
          <w:p w14:paraId="02232E39"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33" w:type="pct"/>
            <w:tcBorders>
              <w:top w:val="nil"/>
              <w:left w:val="nil"/>
              <w:bottom w:val="nil"/>
              <w:right w:val="nil"/>
            </w:tcBorders>
            <w:shd w:val="clear" w:color="auto" w:fill="auto"/>
            <w:noWrap/>
            <w:vAlign w:val="bottom"/>
            <w:hideMark/>
          </w:tcPr>
          <w:p w14:paraId="1AB0ED97"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10978C22"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2" w:type="pct"/>
            <w:tcBorders>
              <w:top w:val="nil"/>
              <w:left w:val="nil"/>
              <w:bottom w:val="nil"/>
              <w:right w:val="nil"/>
            </w:tcBorders>
            <w:shd w:val="clear" w:color="auto" w:fill="auto"/>
            <w:noWrap/>
            <w:vAlign w:val="bottom"/>
            <w:hideMark/>
          </w:tcPr>
          <w:p w14:paraId="20E7A967"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725A9EF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47" w:type="pct"/>
            <w:tcBorders>
              <w:top w:val="nil"/>
              <w:left w:val="nil"/>
              <w:bottom w:val="nil"/>
              <w:right w:val="nil"/>
            </w:tcBorders>
            <w:shd w:val="clear" w:color="auto" w:fill="auto"/>
            <w:noWrap/>
            <w:vAlign w:val="bottom"/>
            <w:hideMark/>
          </w:tcPr>
          <w:p w14:paraId="19918609"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7" w:type="pct"/>
            <w:tcBorders>
              <w:top w:val="nil"/>
              <w:left w:val="nil"/>
              <w:bottom w:val="nil"/>
              <w:right w:val="nil"/>
            </w:tcBorders>
            <w:shd w:val="clear" w:color="auto" w:fill="auto"/>
            <w:noWrap/>
            <w:vAlign w:val="bottom"/>
            <w:hideMark/>
          </w:tcPr>
          <w:p w14:paraId="7ECFB6FF"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1" w:type="pct"/>
            <w:tcBorders>
              <w:top w:val="nil"/>
              <w:left w:val="nil"/>
              <w:bottom w:val="nil"/>
              <w:right w:val="nil"/>
            </w:tcBorders>
            <w:shd w:val="clear" w:color="auto" w:fill="auto"/>
            <w:noWrap/>
            <w:vAlign w:val="bottom"/>
            <w:hideMark/>
          </w:tcPr>
          <w:p w14:paraId="01AC4987"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2" w:type="pct"/>
            <w:tcBorders>
              <w:top w:val="nil"/>
              <w:left w:val="nil"/>
              <w:bottom w:val="nil"/>
              <w:right w:val="nil"/>
            </w:tcBorders>
            <w:shd w:val="clear" w:color="auto" w:fill="auto"/>
            <w:noWrap/>
            <w:vAlign w:val="bottom"/>
            <w:hideMark/>
          </w:tcPr>
          <w:p w14:paraId="498D814E"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r>
      <w:tr w:rsidR="00C31BBD" w:rsidRPr="00DF3644" w14:paraId="2D36BDB0" w14:textId="77777777" w:rsidTr="00EE5C68">
        <w:trPr>
          <w:trHeight w:val="300"/>
        </w:trPr>
        <w:tc>
          <w:tcPr>
            <w:tcW w:w="793" w:type="pct"/>
            <w:tcBorders>
              <w:top w:val="nil"/>
              <w:left w:val="nil"/>
              <w:bottom w:val="nil"/>
              <w:right w:val="nil"/>
            </w:tcBorders>
            <w:shd w:val="clear" w:color="auto" w:fill="auto"/>
            <w:noWrap/>
            <w:vAlign w:val="bottom"/>
            <w:hideMark/>
          </w:tcPr>
          <w:p w14:paraId="1004A43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923" w:type="pct"/>
            <w:gridSpan w:val="2"/>
            <w:tcBorders>
              <w:top w:val="nil"/>
              <w:left w:val="nil"/>
              <w:bottom w:val="nil"/>
              <w:right w:val="nil"/>
            </w:tcBorders>
            <w:shd w:val="clear" w:color="000000" w:fill="DCE6F1"/>
            <w:noWrap/>
            <w:vAlign w:val="bottom"/>
            <w:hideMark/>
          </w:tcPr>
          <w:p w14:paraId="1D1B82CE" w14:textId="77777777" w:rsidR="00C31BBD" w:rsidRPr="00DF3644" w:rsidRDefault="00C31BBD" w:rsidP="00EE5C68">
            <w:pPr>
              <w:spacing w:after="0" w:line="240" w:lineRule="auto"/>
              <w:jc w:val="center"/>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2007</w:t>
            </w:r>
          </w:p>
        </w:tc>
        <w:tc>
          <w:tcPr>
            <w:tcW w:w="91" w:type="pct"/>
            <w:tcBorders>
              <w:top w:val="nil"/>
              <w:left w:val="nil"/>
              <w:bottom w:val="nil"/>
              <w:right w:val="nil"/>
            </w:tcBorders>
            <w:shd w:val="clear" w:color="auto" w:fill="auto"/>
            <w:noWrap/>
            <w:vAlign w:val="bottom"/>
            <w:hideMark/>
          </w:tcPr>
          <w:p w14:paraId="4375E99C"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881" w:type="pct"/>
            <w:gridSpan w:val="2"/>
            <w:tcBorders>
              <w:top w:val="nil"/>
              <w:left w:val="nil"/>
              <w:bottom w:val="nil"/>
              <w:right w:val="nil"/>
            </w:tcBorders>
            <w:shd w:val="clear" w:color="000000" w:fill="C4D79B"/>
            <w:noWrap/>
            <w:vAlign w:val="bottom"/>
            <w:hideMark/>
          </w:tcPr>
          <w:p w14:paraId="1D8FD82C" w14:textId="77777777" w:rsidR="00C31BBD" w:rsidRPr="00DF3644" w:rsidRDefault="00C31BBD" w:rsidP="00EE5C68">
            <w:pPr>
              <w:spacing w:after="0" w:line="240" w:lineRule="auto"/>
              <w:jc w:val="center"/>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2017</w:t>
            </w:r>
          </w:p>
        </w:tc>
        <w:tc>
          <w:tcPr>
            <w:tcW w:w="91" w:type="pct"/>
            <w:tcBorders>
              <w:top w:val="nil"/>
              <w:left w:val="nil"/>
              <w:bottom w:val="nil"/>
              <w:right w:val="nil"/>
            </w:tcBorders>
            <w:shd w:val="clear" w:color="auto" w:fill="auto"/>
            <w:noWrap/>
            <w:vAlign w:val="bottom"/>
            <w:hideMark/>
          </w:tcPr>
          <w:p w14:paraId="3264C2F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552" w:type="pct"/>
            <w:tcBorders>
              <w:top w:val="nil"/>
              <w:left w:val="nil"/>
              <w:bottom w:val="nil"/>
              <w:right w:val="nil"/>
            </w:tcBorders>
            <w:shd w:val="clear" w:color="000000" w:fill="FDE9D9"/>
            <w:noWrap/>
            <w:vAlign w:val="bottom"/>
            <w:hideMark/>
          </w:tcPr>
          <w:p w14:paraId="5E973871" w14:textId="77777777" w:rsidR="00C31BBD" w:rsidRPr="00DF3644" w:rsidRDefault="00C31BBD" w:rsidP="00EE5C68">
            <w:pPr>
              <w:spacing w:after="0" w:line="240" w:lineRule="auto"/>
              <w:jc w:val="center"/>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Change</w:t>
            </w:r>
          </w:p>
        </w:tc>
        <w:tc>
          <w:tcPr>
            <w:tcW w:w="91" w:type="pct"/>
            <w:tcBorders>
              <w:top w:val="nil"/>
              <w:left w:val="nil"/>
              <w:bottom w:val="nil"/>
              <w:right w:val="nil"/>
            </w:tcBorders>
            <w:shd w:val="clear" w:color="auto" w:fill="auto"/>
            <w:noWrap/>
            <w:vAlign w:val="bottom"/>
            <w:hideMark/>
          </w:tcPr>
          <w:p w14:paraId="6A5D3D49"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1004" w:type="pct"/>
            <w:gridSpan w:val="2"/>
            <w:tcBorders>
              <w:top w:val="nil"/>
              <w:left w:val="nil"/>
              <w:bottom w:val="nil"/>
              <w:right w:val="nil"/>
            </w:tcBorders>
            <w:shd w:val="clear" w:color="000000" w:fill="DDD9C4"/>
            <w:noWrap/>
            <w:vAlign w:val="bottom"/>
            <w:hideMark/>
          </w:tcPr>
          <w:p w14:paraId="16050B7D" w14:textId="77777777" w:rsidR="00C31BBD" w:rsidRPr="00DF3644" w:rsidRDefault="00C31BBD" w:rsidP="00EE5C68">
            <w:pPr>
              <w:spacing w:after="0" w:line="240" w:lineRule="auto"/>
              <w:jc w:val="center"/>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2027</w:t>
            </w:r>
          </w:p>
        </w:tc>
        <w:tc>
          <w:tcPr>
            <w:tcW w:w="91" w:type="pct"/>
            <w:tcBorders>
              <w:top w:val="nil"/>
              <w:left w:val="nil"/>
              <w:bottom w:val="nil"/>
              <w:right w:val="nil"/>
            </w:tcBorders>
            <w:shd w:val="clear" w:color="auto" w:fill="auto"/>
            <w:noWrap/>
            <w:vAlign w:val="bottom"/>
            <w:hideMark/>
          </w:tcPr>
          <w:p w14:paraId="5A967873"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82" w:type="pct"/>
            <w:tcBorders>
              <w:top w:val="nil"/>
              <w:left w:val="nil"/>
              <w:bottom w:val="nil"/>
              <w:right w:val="nil"/>
            </w:tcBorders>
            <w:shd w:val="clear" w:color="000000" w:fill="FFFF00"/>
            <w:noWrap/>
            <w:vAlign w:val="bottom"/>
            <w:hideMark/>
          </w:tcPr>
          <w:p w14:paraId="5997BCE7" w14:textId="77777777" w:rsidR="00C31BBD" w:rsidRPr="00DF3644" w:rsidRDefault="00C31BBD" w:rsidP="00EE5C68">
            <w:pPr>
              <w:spacing w:after="0" w:line="240" w:lineRule="auto"/>
              <w:jc w:val="center"/>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Projected</w:t>
            </w:r>
          </w:p>
        </w:tc>
      </w:tr>
      <w:tr w:rsidR="00C31BBD" w:rsidRPr="00C97EE6" w14:paraId="3E351D54" w14:textId="77777777" w:rsidTr="00EE5C68">
        <w:trPr>
          <w:trHeight w:val="300"/>
        </w:trPr>
        <w:tc>
          <w:tcPr>
            <w:tcW w:w="793" w:type="pct"/>
            <w:tcBorders>
              <w:top w:val="nil"/>
              <w:left w:val="nil"/>
              <w:bottom w:val="single" w:sz="4" w:space="0" w:color="auto"/>
              <w:right w:val="nil"/>
            </w:tcBorders>
            <w:shd w:val="clear" w:color="auto" w:fill="auto"/>
            <w:noWrap/>
            <w:vAlign w:val="bottom"/>
            <w:hideMark/>
          </w:tcPr>
          <w:p w14:paraId="2817E5A0" w14:textId="77777777" w:rsidR="00C31BBD" w:rsidRPr="00DF3644" w:rsidRDefault="00C31BBD" w:rsidP="00EE5C68">
            <w:pPr>
              <w:spacing w:after="0" w:line="240" w:lineRule="auto"/>
              <w:rPr>
                <w:rFonts w:ascii="Calibri" w:eastAsia="Times New Roman" w:hAnsi="Calibri" w:cs="Times New Roman"/>
                <w:b/>
                <w:bCs/>
                <w:color w:val="000000"/>
                <w:sz w:val="22"/>
                <w:szCs w:val="22"/>
                <w:lang w:val="en-CA" w:eastAsia="en-CA"/>
              </w:rPr>
            </w:pPr>
            <w:r w:rsidRPr="00DF3644">
              <w:rPr>
                <w:rFonts w:ascii="Calibri" w:eastAsia="Times New Roman" w:hAnsi="Calibri" w:cs="Times New Roman"/>
                <w:b/>
                <w:bCs/>
                <w:color w:val="000000"/>
                <w:sz w:val="22"/>
                <w:szCs w:val="22"/>
                <w:lang w:val="en-CA" w:eastAsia="en-CA"/>
              </w:rPr>
              <w:t>Municipality</w:t>
            </w:r>
          </w:p>
        </w:tc>
        <w:tc>
          <w:tcPr>
            <w:tcW w:w="436" w:type="pct"/>
            <w:tcBorders>
              <w:top w:val="nil"/>
              <w:left w:val="nil"/>
              <w:bottom w:val="single" w:sz="4" w:space="0" w:color="auto"/>
              <w:right w:val="nil"/>
            </w:tcBorders>
            <w:shd w:val="clear" w:color="000000" w:fill="DCE6F1"/>
            <w:vAlign w:val="bottom"/>
          </w:tcPr>
          <w:p w14:paraId="37D0F90D"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Allocation</w:t>
            </w:r>
          </w:p>
        </w:tc>
        <w:tc>
          <w:tcPr>
            <w:tcW w:w="487" w:type="pct"/>
            <w:tcBorders>
              <w:top w:val="nil"/>
              <w:left w:val="nil"/>
              <w:bottom w:val="single" w:sz="4" w:space="0" w:color="auto"/>
              <w:right w:val="nil"/>
            </w:tcBorders>
            <w:shd w:val="clear" w:color="000000" w:fill="DCE6F1"/>
            <w:vAlign w:val="bottom"/>
          </w:tcPr>
          <w:p w14:paraId="66EF3DF7" w14:textId="77777777" w:rsidR="00C31BBD" w:rsidRPr="00DF3644" w:rsidRDefault="00C31BBD" w:rsidP="00EE5C68">
            <w:pPr>
              <w:spacing w:after="0" w:line="240" w:lineRule="auto"/>
              <w:jc w:val="center"/>
              <w:rPr>
                <w:rFonts w:ascii="Calibri" w:eastAsia="Times New Roman" w:hAnsi="Calibri" w:cs="Times New Roman"/>
                <w:b/>
                <w:bCs/>
                <w:color w:val="000000"/>
                <w:sz w:val="16"/>
                <w:szCs w:val="16"/>
                <w:lang w:val="en-CA" w:eastAsia="en-CA"/>
              </w:rPr>
            </w:pPr>
            <w:r>
              <w:rPr>
                <w:rFonts w:ascii="Calibri" w:eastAsia="Times New Roman" w:hAnsi="Calibri" w:cs="Times New Roman"/>
                <w:b/>
                <w:bCs/>
                <w:color w:val="000000"/>
                <w:sz w:val="16"/>
                <w:szCs w:val="16"/>
                <w:lang w:val="en-CA" w:eastAsia="en-CA"/>
              </w:rPr>
              <w:t>Budget</w:t>
            </w:r>
          </w:p>
        </w:tc>
        <w:tc>
          <w:tcPr>
            <w:tcW w:w="91" w:type="pct"/>
            <w:tcBorders>
              <w:top w:val="nil"/>
              <w:left w:val="nil"/>
              <w:bottom w:val="nil"/>
              <w:right w:val="nil"/>
            </w:tcBorders>
            <w:shd w:val="clear" w:color="auto" w:fill="auto"/>
            <w:vAlign w:val="bottom"/>
            <w:hideMark/>
          </w:tcPr>
          <w:p w14:paraId="03290932"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p>
        </w:tc>
        <w:tc>
          <w:tcPr>
            <w:tcW w:w="448" w:type="pct"/>
            <w:tcBorders>
              <w:top w:val="nil"/>
              <w:left w:val="nil"/>
              <w:bottom w:val="single" w:sz="4" w:space="0" w:color="auto"/>
              <w:right w:val="nil"/>
            </w:tcBorders>
            <w:shd w:val="clear" w:color="000000" w:fill="C4D79B"/>
            <w:vAlign w:val="bottom"/>
            <w:hideMark/>
          </w:tcPr>
          <w:p w14:paraId="58527C2F"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Allocation</w:t>
            </w:r>
          </w:p>
        </w:tc>
        <w:tc>
          <w:tcPr>
            <w:tcW w:w="433" w:type="pct"/>
            <w:tcBorders>
              <w:top w:val="nil"/>
              <w:left w:val="nil"/>
              <w:bottom w:val="single" w:sz="4" w:space="0" w:color="auto"/>
              <w:right w:val="nil"/>
            </w:tcBorders>
            <w:shd w:val="clear" w:color="000000" w:fill="C4D79B"/>
            <w:vAlign w:val="bottom"/>
            <w:hideMark/>
          </w:tcPr>
          <w:p w14:paraId="6F72F9AE"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sidRPr="00DF3644">
              <w:rPr>
                <w:rFonts w:ascii="Calibri" w:eastAsia="Times New Roman" w:hAnsi="Calibri" w:cs="Times New Roman"/>
                <w:b/>
                <w:bCs/>
                <w:color w:val="000000"/>
                <w:sz w:val="20"/>
                <w:szCs w:val="20"/>
                <w:lang w:val="en-CA" w:eastAsia="en-CA"/>
              </w:rPr>
              <w:t>Budget</w:t>
            </w:r>
          </w:p>
        </w:tc>
        <w:tc>
          <w:tcPr>
            <w:tcW w:w="91" w:type="pct"/>
            <w:tcBorders>
              <w:top w:val="nil"/>
              <w:left w:val="nil"/>
              <w:bottom w:val="nil"/>
              <w:right w:val="nil"/>
            </w:tcBorders>
            <w:shd w:val="clear" w:color="auto" w:fill="auto"/>
            <w:vAlign w:val="bottom"/>
            <w:hideMark/>
          </w:tcPr>
          <w:p w14:paraId="28E17A8E"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p>
        </w:tc>
        <w:tc>
          <w:tcPr>
            <w:tcW w:w="552" w:type="pct"/>
            <w:tcBorders>
              <w:top w:val="nil"/>
              <w:left w:val="nil"/>
              <w:bottom w:val="single" w:sz="4" w:space="0" w:color="auto"/>
              <w:right w:val="nil"/>
            </w:tcBorders>
            <w:shd w:val="clear" w:color="000000" w:fill="FDE9D9"/>
            <w:vAlign w:val="bottom"/>
            <w:hideMark/>
          </w:tcPr>
          <w:p w14:paraId="6D27541A"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sidRPr="00DF3644">
              <w:rPr>
                <w:rFonts w:ascii="Calibri" w:eastAsia="Times New Roman" w:hAnsi="Calibri" w:cs="Times New Roman"/>
                <w:b/>
                <w:bCs/>
                <w:color w:val="000000"/>
                <w:sz w:val="20"/>
                <w:szCs w:val="20"/>
                <w:lang w:val="en-CA" w:eastAsia="en-CA"/>
              </w:rPr>
              <w:t>2007 - 2017</w:t>
            </w:r>
          </w:p>
        </w:tc>
        <w:tc>
          <w:tcPr>
            <w:tcW w:w="91" w:type="pct"/>
            <w:tcBorders>
              <w:top w:val="nil"/>
              <w:left w:val="nil"/>
              <w:bottom w:val="nil"/>
              <w:right w:val="nil"/>
            </w:tcBorders>
            <w:shd w:val="clear" w:color="auto" w:fill="auto"/>
            <w:noWrap/>
            <w:vAlign w:val="bottom"/>
            <w:hideMark/>
          </w:tcPr>
          <w:p w14:paraId="18D26455"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nil"/>
              <w:left w:val="nil"/>
              <w:bottom w:val="single" w:sz="4" w:space="0" w:color="auto"/>
              <w:right w:val="nil"/>
            </w:tcBorders>
            <w:shd w:val="clear" w:color="000000" w:fill="DDD9C4"/>
            <w:vAlign w:val="bottom"/>
            <w:hideMark/>
          </w:tcPr>
          <w:p w14:paraId="5A5FC028"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Allocation</w:t>
            </w:r>
          </w:p>
        </w:tc>
        <w:tc>
          <w:tcPr>
            <w:tcW w:w="557" w:type="pct"/>
            <w:tcBorders>
              <w:top w:val="nil"/>
              <w:left w:val="nil"/>
              <w:bottom w:val="single" w:sz="4" w:space="0" w:color="auto"/>
              <w:right w:val="nil"/>
            </w:tcBorders>
            <w:shd w:val="clear" w:color="000000" w:fill="DDD9C4"/>
            <w:vAlign w:val="bottom"/>
            <w:hideMark/>
          </w:tcPr>
          <w:p w14:paraId="265BAFF9"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sidRPr="00DF3644">
              <w:rPr>
                <w:rFonts w:ascii="Calibri" w:eastAsia="Times New Roman" w:hAnsi="Calibri" w:cs="Times New Roman"/>
                <w:b/>
                <w:bCs/>
                <w:color w:val="000000"/>
                <w:sz w:val="20"/>
                <w:szCs w:val="20"/>
                <w:lang w:val="en-CA" w:eastAsia="en-CA"/>
              </w:rPr>
              <w:t>Budget</w:t>
            </w:r>
          </w:p>
        </w:tc>
        <w:tc>
          <w:tcPr>
            <w:tcW w:w="91" w:type="pct"/>
            <w:tcBorders>
              <w:top w:val="nil"/>
              <w:left w:val="nil"/>
              <w:bottom w:val="nil"/>
              <w:right w:val="nil"/>
            </w:tcBorders>
            <w:shd w:val="clear" w:color="auto" w:fill="auto"/>
            <w:noWrap/>
            <w:vAlign w:val="bottom"/>
            <w:hideMark/>
          </w:tcPr>
          <w:p w14:paraId="267ABD73"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nil"/>
              <w:left w:val="nil"/>
              <w:bottom w:val="single" w:sz="4" w:space="0" w:color="auto"/>
              <w:right w:val="nil"/>
            </w:tcBorders>
            <w:shd w:val="clear" w:color="000000" w:fill="FFFF00"/>
            <w:vAlign w:val="bottom"/>
            <w:hideMark/>
          </w:tcPr>
          <w:p w14:paraId="4DC29E06" w14:textId="77777777" w:rsidR="00C31BBD" w:rsidRPr="00DF3644" w:rsidRDefault="00C31BBD" w:rsidP="00EE5C68">
            <w:pPr>
              <w:spacing w:after="0" w:line="240" w:lineRule="auto"/>
              <w:jc w:val="center"/>
              <w:rPr>
                <w:rFonts w:ascii="Calibri" w:eastAsia="Times New Roman" w:hAnsi="Calibri" w:cs="Times New Roman"/>
                <w:b/>
                <w:bCs/>
                <w:color w:val="000000"/>
                <w:sz w:val="20"/>
                <w:szCs w:val="20"/>
                <w:lang w:val="en-CA" w:eastAsia="en-CA"/>
              </w:rPr>
            </w:pPr>
            <w:r w:rsidRPr="00DF3644">
              <w:rPr>
                <w:rFonts w:ascii="Calibri" w:eastAsia="Times New Roman" w:hAnsi="Calibri" w:cs="Times New Roman"/>
                <w:b/>
                <w:bCs/>
                <w:color w:val="000000"/>
                <w:sz w:val="20"/>
                <w:szCs w:val="20"/>
                <w:lang w:val="en-CA" w:eastAsia="en-CA"/>
              </w:rPr>
              <w:t>2017 - 2027</w:t>
            </w:r>
          </w:p>
        </w:tc>
      </w:tr>
      <w:tr w:rsidR="00C31BBD" w:rsidRPr="00C97EE6" w14:paraId="2E222948" w14:textId="77777777" w:rsidTr="00EE5C68">
        <w:trPr>
          <w:trHeight w:val="300"/>
        </w:trPr>
        <w:tc>
          <w:tcPr>
            <w:tcW w:w="793" w:type="pct"/>
            <w:tcBorders>
              <w:top w:val="nil"/>
              <w:left w:val="nil"/>
              <w:right w:val="nil"/>
            </w:tcBorders>
            <w:shd w:val="clear" w:color="auto" w:fill="auto"/>
            <w:noWrap/>
            <w:vAlign w:val="bottom"/>
            <w:hideMark/>
          </w:tcPr>
          <w:p w14:paraId="16B2EE7E"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36" w:type="pct"/>
            <w:tcBorders>
              <w:top w:val="nil"/>
              <w:left w:val="nil"/>
              <w:right w:val="nil"/>
            </w:tcBorders>
            <w:shd w:val="clear" w:color="000000" w:fill="DCE6F1"/>
            <w:noWrap/>
            <w:vAlign w:val="bottom"/>
            <w:hideMark/>
          </w:tcPr>
          <w:p w14:paraId="69741C7B"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487" w:type="pct"/>
            <w:tcBorders>
              <w:top w:val="nil"/>
              <w:left w:val="nil"/>
              <w:right w:val="nil"/>
            </w:tcBorders>
            <w:shd w:val="clear" w:color="000000" w:fill="DCE6F1"/>
            <w:noWrap/>
            <w:vAlign w:val="bottom"/>
            <w:hideMark/>
          </w:tcPr>
          <w:p w14:paraId="26758A2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91" w:type="pct"/>
            <w:tcBorders>
              <w:top w:val="nil"/>
              <w:left w:val="nil"/>
              <w:right w:val="nil"/>
            </w:tcBorders>
            <w:shd w:val="clear" w:color="auto" w:fill="auto"/>
            <w:noWrap/>
            <w:vAlign w:val="bottom"/>
            <w:hideMark/>
          </w:tcPr>
          <w:p w14:paraId="0642C4FB"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nil"/>
              <w:left w:val="nil"/>
              <w:right w:val="nil"/>
            </w:tcBorders>
            <w:shd w:val="clear" w:color="000000" w:fill="C4D79B"/>
            <w:noWrap/>
            <w:vAlign w:val="bottom"/>
            <w:hideMark/>
          </w:tcPr>
          <w:p w14:paraId="4A8B827C"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433" w:type="pct"/>
            <w:tcBorders>
              <w:top w:val="nil"/>
              <w:left w:val="nil"/>
              <w:right w:val="nil"/>
            </w:tcBorders>
            <w:shd w:val="clear" w:color="000000" w:fill="C4D79B"/>
            <w:noWrap/>
            <w:vAlign w:val="bottom"/>
            <w:hideMark/>
          </w:tcPr>
          <w:p w14:paraId="6519BCD1"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91" w:type="pct"/>
            <w:tcBorders>
              <w:top w:val="nil"/>
              <w:left w:val="nil"/>
              <w:right w:val="nil"/>
            </w:tcBorders>
            <w:shd w:val="clear" w:color="auto" w:fill="auto"/>
            <w:noWrap/>
            <w:vAlign w:val="bottom"/>
            <w:hideMark/>
          </w:tcPr>
          <w:p w14:paraId="276D7BB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nil"/>
              <w:left w:val="nil"/>
              <w:right w:val="nil"/>
            </w:tcBorders>
            <w:shd w:val="clear" w:color="000000" w:fill="FDE9D9"/>
            <w:noWrap/>
            <w:vAlign w:val="bottom"/>
            <w:hideMark/>
          </w:tcPr>
          <w:p w14:paraId="2E30C506"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91" w:type="pct"/>
            <w:tcBorders>
              <w:top w:val="nil"/>
              <w:left w:val="nil"/>
              <w:right w:val="nil"/>
            </w:tcBorders>
            <w:shd w:val="clear" w:color="auto" w:fill="auto"/>
            <w:noWrap/>
            <w:vAlign w:val="bottom"/>
            <w:hideMark/>
          </w:tcPr>
          <w:p w14:paraId="200335F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nil"/>
              <w:left w:val="nil"/>
              <w:right w:val="nil"/>
            </w:tcBorders>
            <w:shd w:val="clear" w:color="000000" w:fill="DDD9C4"/>
            <w:noWrap/>
            <w:vAlign w:val="bottom"/>
            <w:hideMark/>
          </w:tcPr>
          <w:p w14:paraId="363A4D2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557" w:type="pct"/>
            <w:tcBorders>
              <w:top w:val="nil"/>
              <w:left w:val="nil"/>
              <w:right w:val="nil"/>
            </w:tcBorders>
            <w:shd w:val="clear" w:color="000000" w:fill="DDD9C4"/>
            <w:noWrap/>
            <w:vAlign w:val="bottom"/>
            <w:hideMark/>
          </w:tcPr>
          <w:p w14:paraId="75AF884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c>
          <w:tcPr>
            <w:tcW w:w="91" w:type="pct"/>
            <w:tcBorders>
              <w:top w:val="nil"/>
              <w:left w:val="nil"/>
              <w:right w:val="nil"/>
            </w:tcBorders>
            <w:shd w:val="clear" w:color="auto" w:fill="auto"/>
            <w:noWrap/>
            <w:vAlign w:val="bottom"/>
            <w:hideMark/>
          </w:tcPr>
          <w:p w14:paraId="6A0B9F7F"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nil"/>
              <w:left w:val="nil"/>
              <w:right w:val="nil"/>
            </w:tcBorders>
            <w:shd w:val="clear" w:color="000000" w:fill="FFFF00"/>
            <w:noWrap/>
            <w:vAlign w:val="bottom"/>
            <w:hideMark/>
          </w:tcPr>
          <w:p w14:paraId="5AF2C2A5"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w:t>
            </w:r>
          </w:p>
        </w:tc>
      </w:tr>
      <w:tr w:rsidR="00C31BBD" w:rsidRPr="00C97EE6" w14:paraId="379FC4F5" w14:textId="77777777" w:rsidTr="00EE5C68">
        <w:trPr>
          <w:trHeight w:val="300"/>
        </w:trPr>
        <w:tc>
          <w:tcPr>
            <w:tcW w:w="793" w:type="pct"/>
            <w:tcBorders>
              <w:top w:val="nil"/>
              <w:left w:val="nil"/>
              <w:bottom w:val="single" w:sz="4" w:space="0" w:color="auto"/>
              <w:right w:val="nil"/>
            </w:tcBorders>
            <w:shd w:val="clear" w:color="auto" w:fill="auto"/>
            <w:noWrap/>
            <w:vAlign w:val="bottom"/>
            <w:hideMark/>
          </w:tcPr>
          <w:p w14:paraId="6F9673DD"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Township of Chatsworth</w:t>
            </w:r>
          </w:p>
        </w:tc>
        <w:tc>
          <w:tcPr>
            <w:tcW w:w="436" w:type="pct"/>
            <w:tcBorders>
              <w:top w:val="nil"/>
              <w:left w:val="nil"/>
              <w:bottom w:val="single" w:sz="4" w:space="0" w:color="auto"/>
              <w:right w:val="nil"/>
            </w:tcBorders>
            <w:shd w:val="clear" w:color="000000" w:fill="DCE6F1"/>
            <w:noWrap/>
            <w:vAlign w:val="bottom"/>
            <w:hideMark/>
          </w:tcPr>
          <w:p w14:paraId="79E7D4C6"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4.9087%</w:t>
            </w:r>
          </w:p>
        </w:tc>
        <w:tc>
          <w:tcPr>
            <w:tcW w:w="487" w:type="pct"/>
            <w:tcBorders>
              <w:top w:val="nil"/>
              <w:left w:val="nil"/>
              <w:bottom w:val="single" w:sz="4" w:space="0" w:color="auto"/>
              <w:right w:val="nil"/>
            </w:tcBorders>
            <w:shd w:val="clear" w:color="000000" w:fill="DCE6F1"/>
            <w:noWrap/>
            <w:vAlign w:val="bottom"/>
            <w:hideMark/>
          </w:tcPr>
          <w:p w14:paraId="4DDABAEC"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184,134 </w:t>
            </w:r>
          </w:p>
        </w:tc>
        <w:tc>
          <w:tcPr>
            <w:tcW w:w="91" w:type="pct"/>
            <w:tcBorders>
              <w:top w:val="nil"/>
              <w:left w:val="nil"/>
              <w:bottom w:val="single" w:sz="4" w:space="0" w:color="auto"/>
              <w:right w:val="nil"/>
            </w:tcBorders>
            <w:shd w:val="clear" w:color="auto" w:fill="auto"/>
            <w:noWrap/>
            <w:vAlign w:val="bottom"/>
            <w:hideMark/>
          </w:tcPr>
          <w:p w14:paraId="5B41C77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nil"/>
              <w:left w:val="nil"/>
              <w:bottom w:val="single" w:sz="4" w:space="0" w:color="auto"/>
              <w:right w:val="nil"/>
            </w:tcBorders>
            <w:shd w:val="clear" w:color="000000" w:fill="C4D79B"/>
            <w:noWrap/>
            <w:vAlign w:val="bottom"/>
            <w:hideMark/>
          </w:tcPr>
          <w:p w14:paraId="058E61B3"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5.2648%</w:t>
            </w:r>
          </w:p>
        </w:tc>
        <w:tc>
          <w:tcPr>
            <w:tcW w:w="433" w:type="pct"/>
            <w:tcBorders>
              <w:top w:val="nil"/>
              <w:left w:val="nil"/>
              <w:bottom w:val="single" w:sz="4" w:space="0" w:color="auto"/>
              <w:right w:val="nil"/>
            </w:tcBorders>
            <w:shd w:val="clear" w:color="000000" w:fill="C4D79B"/>
            <w:noWrap/>
            <w:vAlign w:val="bottom"/>
            <w:hideMark/>
          </w:tcPr>
          <w:p w14:paraId="4246C35A"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323,770 </w:t>
            </w:r>
          </w:p>
        </w:tc>
        <w:tc>
          <w:tcPr>
            <w:tcW w:w="91" w:type="pct"/>
            <w:tcBorders>
              <w:top w:val="nil"/>
              <w:left w:val="nil"/>
              <w:bottom w:val="single" w:sz="4" w:space="0" w:color="auto"/>
              <w:right w:val="nil"/>
            </w:tcBorders>
            <w:shd w:val="clear" w:color="auto" w:fill="auto"/>
            <w:noWrap/>
            <w:vAlign w:val="bottom"/>
            <w:hideMark/>
          </w:tcPr>
          <w:p w14:paraId="2FC13DCC"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nil"/>
              <w:left w:val="nil"/>
              <w:bottom w:val="single" w:sz="4" w:space="0" w:color="auto"/>
              <w:right w:val="nil"/>
            </w:tcBorders>
            <w:shd w:val="clear" w:color="000000" w:fill="FDE9D9"/>
            <w:noWrap/>
            <w:vAlign w:val="bottom"/>
            <w:hideMark/>
          </w:tcPr>
          <w:p w14:paraId="236C7661"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139,637 </w:t>
            </w:r>
          </w:p>
        </w:tc>
        <w:tc>
          <w:tcPr>
            <w:tcW w:w="91" w:type="pct"/>
            <w:tcBorders>
              <w:top w:val="nil"/>
              <w:left w:val="nil"/>
              <w:bottom w:val="single" w:sz="4" w:space="0" w:color="auto"/>
              <w:right w:val="nil"/>
            </w:tcBorders>
            <w:shd w:val="clear" w:color="auto" w:fill="auto"/>
            <w:noWrap/>
            <w:vAlign w:val="bottom"/>
            <w:hideMark/>
          </w:tcPr>
          <w:p w14:paraId="130634B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nil"/>
              <w:left w:val="nil"/>
              <w:bottom w:val="single" w:sz="4" w:space="0" w:color="auto"/>
              <w:right w:val="nil"/>
            </w:tcBorders>
            <w:shd w:val="clear" w:color="000000" w:fill="DDD9C4"/>
            <w:noWrap/>
            <w:vAlign w:val="bottom"/>
            <w:hideMark/>
          </w:tcPr>
          <w:p w14:paraId="70212346"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5.2648%</w:t>
            </w:r>
          </w:p>
        </w:tc>
        <w:tc>
          <w:tcPr>
            <w:tcW w:w="557" w:type="pct"/>
            <w:tcBorders>
              <w:top w:val="nil"/>
              <w:left w:val="nil"/>
              <w:bottom w:val="single" w:sz="4" w:space="0" w:color="auto"/>
              <w:right w:val="nil"/>
            </w:tcBorders>
            <w:shd w:val="clear" w:color="000000" w:fill="DDD9C4"/>
            <w:noWrap/>
            <w:vAlign w:val="bottom"/>
            <w:hideMark/>
          </w:tcPr>
          <w:p w14:paraId="4253299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518,081 </w:t>
            </w:r>
          </w:p>
        </w:tc>
        <w:tc>
          <w:tcPr>
            <w:tcW w:w="91" w:type="pct"/>
            <w:tcBorders>
              <w:top w:val="nil"/>
              <w:left w:val="nil"/>
              <w:bottom w:val="single" w:sz="4" w:space="0" w:color="auto"/>
              <w:right w:val="nil"/>
            </w:tcBorders>
            <w:shd w:val="clear" w:color="auto" w:fill="auto"/>
            <w:noWrap/>
            <w:vAlign w:val="bottom"/>
            <w:hideMark/>
          </w:tcPr>
          <w:p w14:paraId="0B706F8A"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nil"/>
              <w:left w:val="nil"/>
              <w:bottom w:val="single" w:sz="4" w:space="0" w:color="auto"/>
              <w:right w:val="nil"/>
            </w:tcBorders>
            <w:shd w:val="clear" w:color="000000" w:fill="FFFF00"/>
            <w:noWrap/>
            <w:vAlign w:val="bottom"/>
            <w:hideMark/>
          </w:tcPr>
          <w:p w14:paraId="7373AC2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194,311 </w:t>
            </w:r>
          </w:p>
        </w:tc>
      </w:tr>
      <w:tr w:rsidR="00C31BBD" w:rsidRPr="00C97EE6" w14:paraId="6B70557F"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0753C9CB"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Township of Georgian Bluffs</w:t>
            </w:r>
          </w:p>
        </w:tc>
        <w:tc>
          <w:tcPr>
            <w:tcW w:w="436" w:type="pct"/>
            <w:tcBorders>
              <w:top w:val="single" w:sz="4" w:space="0" w:color="auto"/>
              <w:left w:val="nil"/>
              <w:bottom w:val="single" w:sz="4" w:space="0" w:color="auto"/>
              <w:right w:val="nil"/>
            </w:tcBorders>
            <w:shd w:val="clear" w:color="000000" w:fill="DCE6F1"/>
            <w:noWrap/>
            <w:vAlign w:val="bottom"/>
            <w:hideMark/>
          </w:tcPr>
          <w:p w14:paraId="34711B9B"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10.7732%</w:t>
            </w:r>
          </w:p>
        </w:tc>
        <w:tc>
          <w:tcPr>
            <w:tcW w:w="487" w:type="pct"/>
            <w:tcBorders>
              <w:top w:val="single" w:sz="4" w:space="0" w:color="auto"/>
              <w:left w:val="nil"/>
              <w:bottom w:val="single" w:sz="4" w:space="0" w:color="auto"/>
              <w:right w:val="nil"/>
            </w:tcBorders>
            <w:shd w:val="clear" w:color="000000" w:fill="DCE6F1"/>
            <w:noWrap/>
            <w:vAlign w:val="bottom"/>
            <w:hideMark/>
          </w:tcPr>
          <w:p w14:paraId="723CDF40"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404,121 </w:t>
            </w:r>
          </w:p>
        </w:tc>
        <w:tc>
          <w:tcPr>
            <w:tcW w:w="91" w:type="pct"/>
            <w:tcBorders>
              <w:top w:val="single" w:sz="4" w:space="0" w:color="auto"/>
              <w:left w:val="nil"/>
              <w:bottom w:val="single" w:sz="4" w:space="0" w:color="auto"/>
              <w:right w:val="nil"/>
            </w:tcBorders>
            <w:shd w:val="clear" w:color="auto" w:fill="auto"/>
            <w:noWrap/>
            <w:vAlign w:val="bottom"/>
            <w:hideMark/>
          </w:tcPr>
          <w:p w14:paraId="244D813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4C627165"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11.0254%</w:t>
            </w:r>
          </w:p>
        </w:tc>
        <w:tc>
          <w:tcPr>
            <w:tcW w:w="433" w:type="pct"/>
            <w:tcBorders>
              <w:top w:val="single" w:sz="4" w:space="0" w:color="auto"/>
              <w:left w:val="nil"/>
              <w:bottom w:val="single" w:sz="4" w:space="0" w:color="auto"/>
              <w:right w:val="nil"/>
            </w:tcBorders>
            <w:shd w:val="clear" w:color="000000" w:fill="C4D79B"/>
            <w:noWrap/>
            <w:vAlign w:val="bottom"/>
            <w:hideMark/>
          </w:tcPr>
          <w:p w14:paraId="77A510CC"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678,031 </w:t>
            </w:r>
          </w:p>
        </w:tc>
        <w:tc>
          <w:tcPr>
            <w:tcW w:w="91" w:type="pct"/>
            <w:tcBorders>
              <w:top w:val="single" w:sz="4" w:space="0" w:color="auto"/>
              <w:left w:val="nil"/>
              <w:bottom w:val="single" w:sz="4" w:space="0" w:color="auto"/>
              <w:right w:val="nil"/>
            </w:tcBorders>
            <w:shd w:val="clear" w:color="auto" w:fill="auto"/>
            <w:noWrap/>
            <w:vAlign w:val="bottom"/>
            <w:hideMark/>
          </w:tcPr>
          <w:p w14:paraId="12824B8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2B989020"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 273,910 </w:t>
            </w:r>
          </w:p>
        </w:tc>
        <w:tc>
          <w:tcPr>
            <w:tcW w:w="91" w:type="pct"/>
            <w:tcBorders>
              <w:top w:val="single" w:sz="4" w:space="0" w:color="auto"/>
              <w:left w:val="nil"/>
              <w:bottom w:val="single" w:sz="4" w:space="0" w:color="auto"/>
              <w:right w:val="nil"/>
            </w:tcBorders>
            <w:shd w:val="clear" w:color="auto" w:fill="auto"/>
            <w:noWrap/>
            <w:vAlign w:val="bottom"/>
            <w:hideMark/>
          </w:tcPr>
          <w:p w14:paraId="16DDEECC"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5B1ED369"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11.0254%</w:t>
            </w:r>
          </w:p>
        </w:tc>
        <w:tc>
          <w:tcPr>
            <w:tcW w:w="557" w:type="pct"/>
            <w:tcBorders>
              <w:top w:val="single" w:sz="4" w:space="0" w:color="auto"/>
              <w:left w:val="nil"/>
              <w:bottom w:val="single" w:sz="4" w:space="0" w:color="auto"/>
              <w:right w:val="nil"/>
            </w:tcBorders>
            <w:shd w:val="clear" w:color="000000" w:fill="DDD9C4"/>
            <w:noWrap/>
            <w:vAlign w:val="bottom"/>
            <w:hideMark/>
          </w:tcPr>
          <w:p w14:paraId="48A1520A"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1,084,952 </w:t>
            </w:r>
          </w:p>
        </w:tc>
        <w:tc>
          <w:tcPr>
            <w:tcW w:w="91" w:type="pct"/>
            <w:tcBorders>
              <w:top w:val="single" w:sz="4" w:space="0" w:color="auto"/>
              <w:left w:val="nil"/>
              <w:bottom w:val="single" w:sz="4" w:space="0" w:color="auto"/>
              <w:right w:val="nil"/>
            </w:tcBorders>
            <w:shd w:val="clear" w:color="auto" w:fill="auto"/>
            <w:noWrap/>
            <w:vAlign w:val="bottom"/>
            <w:hideMark/>
          </w:tcPr>
          <w:p w14:paraId="6FD51CE0"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5DC1B602"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406,921 </w:t>
            </w:r>
          </w:p>
        </w:tc>
      </w:tr>
      <w:tr w:rsidR="00C31BBD" w:rsidRPr="00C97EE6" w14:paraId="1CDFA635"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4F8CE31F"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Municipality of Grey Highlands</w:t>
            </w:r>
          </w:p>
        </w:tc>
        <w:tc>
          <w:tcPr>
            <w:tcW w:w="436" w:type="pct"/>
            <w:tcBorders>
              <w:top w:val="single" w:sz="4" w:space="0" w:color="auto"/>
              <w:left w:val="nil"/>
              <w:bottom w:val="single" w:sz="4" w:space="0" w:color="auto"/>
              <w:right w:val="nil"/>
            </w:tcBorders>
            <w:shd w:val="clear" w:color="000000" w:fill="DCE6F1"/>
            <w:noWrap/>
            <w:vAlign w:val="bottom"/>
            <w:hideMark/>
          </w:tcPr>
          <w:p w14:paraId="6AF1EB02"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11.5820%</w:t>
            </w:r>
          </w:p>
        </w:tc>
        <w:tc>
          <w:tcPr>
            <w:tcW w:w="487" w:type="pct"/>
            <w:tcBorders>
              <w:top w:val="single" w:sz="4" w:space="0" w:color="auto"/>
              <w:left w:val="nil"/>
              <w:bottom w:val="single" w:sz="4" w:space="0" w:color="auto"/>
              <w:right w:val="nil"/>
            </w:tcBorders>
            <w:shd w:val="clear" w:color="000000" w:fill="DCE6F1"/>
            <w:noWrap/>
            <w:vAlign w:val="bottom"/>
            <w:hideMark/>
          </w:tcPr>
          <w:p w14:paraId="5DD1A842"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434,460 </w:t>
            </w:r>
          </w:p>
        </w:tc>
        <w:tc>
          <w:tcPr>
            <w:tcW w:w="91" w:type="pct"/>
            <w:tcBorders>
              <w:top w:val="single" w:sz="4" w:space="0" w:color="auto"/>
              <w:left w:val="nil"/>
              <w:bottom w:val="single" w:sz="4" w:space="0" w:color="auto"/>
              <w:right w:val="nil"/>
            </w:tcBorders>
            <w:shd w:val="clear" w:color="auto" w:fill="auto"/>
            <w:noWrap/>
            <w:vAlign w:val="bottom"/>
            <w:hideMark/>
          </w:tcPr>
          <w:p w14:paraId="4F30C17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1C7AFC1A"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11.7666%</w:t>
            </w:r>
          </w:p>
        </w:tc>
        <w:tc>
          <w:tcPr>
            <w:tcW w:w="433" w:type="pct"/>
            <w:tcBorders>
              <w:top w:val="single" w:sz="4" w:space="0" w:color="auto"/>
              <w:left w:val="nil"/>
              <w:bottom w:val="single" w:sz="4" w:space="0" w:color="auto"/>
              <w:right w:val="nil"/>
            </w:tcBorders>
            <w:shd w:val="clear" w:color="000000" w:fill="C4D79B"/>
            <w:noWrap/>
            <w:vAlign w:val="bottom"/>
            <w:hideMark/>
          </w:tcPr>
          <w:p w14:paraId="35262D50"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723,613 </w:t>
            </w:r>
          </w:p>
        </w:tc>
        <w:tc>
          <w:tcPr>
            <w:tcW w:w="91" w:type="pct"/>
            <w:tcBorders>
              <w:top w:val="single" w:sz="4" w:space="0" w:color="auto"/>
              <w:left w:val="nil"/>
              <w:bottom w:val="single" w:sz="4" w:space="0" w:color="auto"/>
              <w:right w:val="nil"/>
            </w:tcBorders>
            <w:shd w:val="clear" w:color="auto" w:fill="auto"/>
            <w:noWrap/>
            <w:vAlign w:val="bottom"/>
            <w:hideMark/>
          </w:tcPr>
          <w:p w14:paraId="14A534E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20EC19E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$ 289,152 </w:t>
            </w:r>
          </w:p>
        </w:tc>
        <w:tc>
          <w:tcPr>
            <w:tcW w:w="91" w:type="pct"/>
            <w:tcBorders>
              <w:top w:val="single" w:sz="4" w:space="0" w:color="auto"/>
              <w:left w:val="nil"/>
              <w:bottom w:val="single" w:sz="4" w:space="0" w:color="auto"/>
              <w:right w:val="nil"/>
            </w:tcBorders>
            <w:shd w:val="clear" w:color="auto" w:fill="auto"/>
            <w:noWrap/>
            <w:vAlign w:val="bottom"/>
            <w:hideMark/>
          </w:tcPr>
          <w:p w14:paraId="1CAB6AEC"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7731A0B2"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11.7666%</w:t>
            </w:r>
          </w:p>
        </w:tc>
        <w:tc>
          <w:tcPr>
            <w:tcW w:w="557" w:type="pct"/>
            <w:tcBorders>
              <w:top w:val="single" w:sz="4" w:space="0" w:color="auto"/>
              <w:left w:val="nil"/>
              <w:bottom w:val="single" w:sz="4" w:space="0" w:color="auto"/>
              <w:right w:val="nil"/>
            </w:tcBorders>
            <w:shd w:val="clear" w:color="000000" w:fill="DDD9C4"/>
            <w:noWrap/>
            <w:vAlign w:val="bottom"/>
            <w:hideMark/>
          </w:tcPr>
          <w:p w14:paraId="45EEB903"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1,157,889 </w:t>
            </w:r>
          </w:p>
        </w:tc>
        <w:tc>
          <w:tcPr>
            <w:tcW w:w="91" w:type="pct"/>
            <w:tcBorders>
              <w:top w:val="single" w:sz="4" w:space="0" w:color="auto"/>
              <w:left w:val="nil"/>
              <w:bottom w:val="single" w:sz="4" w:space="0" w:color="auto"/>
              <w:right w:val="nil"/>
            </w:tcBorders>
            <w:shd w:val="clear" w:color="auto" w:fill="auto"/>
            <w:noWrap/>
            <w:vAlign w:val="bottom"/>
            <w:hideMark/>
          </w:tcPr>
          <w:p w14:paraId="723C7497"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1451B02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434,276 </w:t>
            </w:r>
          </w:p>
        </w:tc>
      </w:tr>
      <w:tr w:rsidR="00C31BBD" w:rsidRPr="00C97EE6" w14:paraId="14FB2BA6"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4AF7F12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Town of Hanover</w:t>
            </w:r>
          </w:p>
        </w:tc>
        <w:tc>
          <w:tcPr>
            <w:tcW w:w="436" w:type="pct"/>
            <w:tcBorders>
              <w:top w:val="single" w:sz="4" w:space="0" w:color="auto"/>
              <w:left w:val="nil"/>
              <w:bottom w:val="single" w:sz="4" w:space="0" w:color="auto"/>
              <w:right w:val="nil"/>
            </w:tcBorders>
            <w:shd w:val="clear" w:color="000000" w:fill="DCE6F1"/>
            <w:noWrap/>
            <w:vAlign w:val="bottom"/>
            <w:hideMark/>
          </w:tcPr>
          <w:p w14:paraId="24EB6453"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5.3240%</w:t>
            </w:r>
          </w:p>
        </w:tc>
        <w:tc>
          <w:tcPr>
            <w:tcW w:w="487" w:type="pct"/>
            <w:tcBorders>
              <w:top w:val="single" w:sz="4" w:space="0" w:color="auto"/>
              <w:left w:val="nil"/>
              <w:bottom w:val="single" w:sz="4" w:space="0" w:color="auto"/>
              <w:right w:val="nil"/>
            </w:tcBorders>
            <w:shd w:val="clear" w:color="000000" w:fill="DCE6F1"/>
            <w:noWrap/>
            <w:vAlign w:val="bottom"/>
            <w:hideMark/>
          </w:tcPr>
          <w:p w14:paraId="757480F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199,712 </w:t>
            </w:r>
          </w:p>
        </w:tc>
        <w:tc>
          <w:tcPr>
            <w:tcW w:w="91" w:type="pct"/>
            <w:tcBorders>
              <w:top w:val="single" w:sz="4" w:space="0" w:color="auto"/>
              <w:left w:val="nil"/>
              <w:bottom w:val="single" w:sz="4" w:space="0" w:color="auto"/>
              <w:right w:val="nil"/>
            </w:tcBorders>
            <w:shd w:val="clear" w:color="auto" w:fill="auto"/>
            <w:noWrap/>
            <w:vAlign w:val="bottom"/>
            <w:hideMark/>
          </w:tcPr>
          <w:p w14:paraId="11857CFF"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49190BB1"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5.0244%</w:t>
            </w:r>
          </w:p>
        </w:tc>
        <w:tc>
          <w:tcPr>
            <w:tcW w:w="433" w:type="pct"/>
            <w:tcBorders>
              <w:top w:val="single" w:sz="4" w:space="0" w:color="auto"/>
              <w:left w:val="nil"/>
              <w:bottom w:val="single" w:sz="4" w:space="0" w:color="auto"/>
              <w:right w:val="nil"/>
            </w:tcBorders>
            <w:shd w:val="clear" w:color="000000" w:fill="C4D79B"/>
            <w:noWrap/>
            <w:vAlign w:val="bottom"/>
            <w:hideMark/>
          </w:tcPr>
          <w:p w14:paraId="60E262F6"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308,986 </w:t>
            </w:r>
          </w:p>
        </w:tc>
        <w:tc>
          <w:tcPr>
            <w:tcW w:w="91" w:type="pct"/>
            <w:tcBorders>
              <w:top w:val="single" w:sz="4" w:space="0" w:color="auto"/>
              <w:left w:val="nil"/>
              <w:bottom w:val="single" w:sz="4" w:space="0" w:color="auto"/>
              <w:right w:val="nil"/>
            </w:tcBorders>
            <w:shd w:val="clear" w:color="auto" w:fill="auto"/>
            <w:noWrap/>
            <w:vAlign w:val="bottom"/>
            <w:hideMark/>
          </w:tcPr>
          <w:p w14:paraId="67FB5327"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2FB1EC91"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$ 109,274 </w:t>
            </w:r>
          </w:p>
        </w:tc>
        <w:tc>
          <w:tcPr>
            <w:tcW w:w="91" w:type="pct"/>
            <w:tcBorders>
              <w:top w:val="single" w:sz="4" w:space="0" w:color="auto"/>
              <w:left w:val="nil"/>
              <w:bottom w:val="single" w:sz="4" w:space="0" w:color="auto"/>
              <w:right w:val="nil"/>
            </w:tcBorders>
            <w:shd w:val="clear" w:color="auto" w:fill="auto"/>
            <w:noWrap/>
            <w:vAlign w:val="bottom"/>
            <w:hideMark/>
          </w:tcPr>
          <w:p w14:paraId="57CD31A5"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75F65EE7"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5.0244%</w:t>
            </w:r>
          </w:p>
        </w:tc>
        <w:tc>
          <w:tcPr>
            <w:tcW w:w="557" w:type="pct"/>
            <w:tcBorders>
              <w:top w:val="single" w:sz="4" w:space="0" w:color="auto"/>
              <w:left w:val="nil"/>
              <w:bottom w:val="single" w:sz="4" w:space="0" w:color="auto"/>
              <w:right w:val="nil"/>
            </w:tcBorders>
            <w:shd w:val="clear" w:color="000000" w:fill="DDD9C4"/>
            <w:noWrap/>
            <w:vAlign w:val="bottom"/>
            <w:hideMark/>
          </w:tcPr>
          <w:p w14:paraId="07A3CD91"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494,425 </w:t>
            </w:r>
          </w:p>
        </w:tc>
        <w:tc>
          <w:tcPr>
            <w:tcW w:w="91" w:type="pct"/>
            <w:tcBorders>
              <w:top w:val="single" w:sz="4" w:space="0" w:color="auto"/>
              <w:left w:val="nil"/>
              <w:bottom w:val="single" w:sz="4" w:space="0" w:color="auto"/>
              <w:right w:val="nil"/>
            </w:tcBorders>
            <w:shd w:val="clear" w:color="auto" w:fill="auto"/>
            <w:noWrap/>
            <w:vAlign w:val="bottom"/>
            <w:hideMark/>
          </w:tcPr>
          <w:p w14:paraId="3211DAB7"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72006A4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185,438 </w:t>
            </w:r>
          </w:p>
        </w:tc>
      </w:tr>
      <w:tr w:rsidR="00C31BBD" w:rsidRPr="00C97EE6" w14:paraId="589676B3"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02C635C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Municipality of Meaford</w:t>
            </w:r>
          </w:p>
        </w:tc>
        <w:tc>
          <w:tcPr>
            <w:tcW w:w="436" w:type="pct"/>
            <w:tcBorders>
              <w:top w:val="single" w:sz="4" w:space="0" w:color="auto"/>
              <w:left w:val="nil"/>
              <w:bottom w:val="single" w:sz="4" w:space="0" w:color="auto"/>
              <w:right w:val="nil"/>
            </w:tcBorders>
            <w:shd w:val="clear" w:color="000000" w:fill="DCE6F1"/>
            <w:noWrap/>
            <w:vAlign w:val="bottom"/>
            <w:hideMark/>
          </w:tcPr>
          <w:p w14:paraId="0909EF29"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11.6990%</w:t>
            </w:r>
          </w:p>
        </w:tc>
        <w:tc>
          <w:tcPr>
            <w:tcW w:w="487" w:type="pct"/>
            <w:tcBorders>
              <w:top w:val="single" w:sz="4" w:space="0" w:color="auto"/>
              <w:left w:val="nil"/>
              <w:bottom w:val="single" w:sz="4" w:space="0" w:color="auto"/>
              <w:right w:val="nil"/>
            </w:tcBorders>
            <w:shd w:val="clear" w:color="000000" w:fill="DCE6F1"/>
            <w:noWrap/>
            <w:vAlign w:val="bottom"/>
            <w:hideMark/>
          </w:tcPr>
          <w:p w14:paraId="5D289F8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438,849 </w:t>
            </w:r>
          </w:p>
        </w:tc>
        <w:tc>
          <w:tcPr>
            <w:tcW w:w="91" w:type="pct"/>
            <w:tcBorders>
              <w:top w:val="single" w:sz="4" w:space="0" w:color="auto"/>
              <w:left w:val="nil"/>
              <w:bottom w:val="single" w:sz="4" w:space="0" w:color="auto"/>
              <w:right w:val="nil"/>
            </w:tcBorders>
            <w:shd w:val="clear" w:color="auto" w:fill="auto"/>
            <w:noWrap/>
            <w:vAlign w:val="bottom"/>
            <w:hideMark/>
          </w:tcPr>
          <w:p w14:paraId="7A7D189B"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2C25FF07"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11.4468%</w:t>
            </w:r>
          </w:p>
        </w:tc>
        <w:tc>
          <w:tcPr>
            <w:tcW w:w="433" w:type="pct"/>
            <w:tcBorders>
              <w:top w:val="single" w:sz="4" w:space="0" w:color="auto"/>
              <w:left w:val="nil"/>
              <w:bottom w:val="single" w:sz="4" w:space="0" w:color="auto"/>
              <w:right w:val="nil"/>
            </w:tcBorders>
            <w:shd w:val="clear" w:color="000000" w:fill="C4D79B"/>
            <w:noWrap/>
            <w:vAlign w:val="bottom"/>
            <w:hideMark/>
          </w:tcPr>
          <w:p w14:paraId="48B567AA"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703,946 </w:t>
            </w:r>
          </w:p>
        </w:tc>
        <w:tc>
          <w:tcPr>
            <w:tcW w:w="91" w:type="pct"/>
            <w:tcBorders>
              <w:top w:val="single" w:sz="4" w:space="0" w:color="auto"/>
              <w:left w:val="nil"/>
              <w:bottom w:val="single" w:sz="4" w:space="0" w:color="auto"/>
              <w:right w:val="nil"/>
            </w:tcBorders>
            <w:shd w:val="clear" w:color="auto" w:fill="auto"/>
            <w:noWrap/>
            <w:vAlign w:val="bottom"/>
            <w:hideMark/>
          </w:tcPr>
          <w:p w14:paraId="7256C07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0522A206"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$ 265,097 </w:t>
            </w:r>
          </w:p>
        </w:tc>
        <w:tc>
          <w:tcPr>
            <w:tcW w:w="91" w:type="pct"/>
            <w:tcBorders>
              <w:top w:val="single" w:sz="4" w:space="0" w:color="auto"/>
              <w:left w:val="nil"/>
              <w:bottom w:val="single" w:sz="4" w:space="0" w:color="auto"/>
              <w:right w:val="nil"/>
            </w:tcBorders>
            <w:shd w:val="clear" w:color="auto" w:fill="auto"/>
            <w:noWrap/>
            <w:vAlign w:val="bottom"/>
            <w:hideMark/>
          </w:tcPr>
          <w:p w14:paraId="1CAE7F5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6D583187"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11.4468%</w:t>
            </w:r>
          </w:p>
        </w:tc>
        <w:tc>
          <w:tcPr>
            <w:tcW w:w="557" w:type="pct"/>
            <w:tcBorders>
              <w:top w:val="single" w:sz="4" w:space="0" w:color="auto"/>
              <w:left w:val="nil"/>
              <w:bottom w:val="single" w:sz="4" w:space="0" w:color="auto"/>
              <w:right w:val="nil"/>
            </w:tcBorders>
            <w:shd w:val="clear" w:color="000000" w:fill="DDD9C4"/>
            <w:noWrap/>
            <w:vAlign w:val="bottom"/>
            <w:hideMark/>
          </w:tcPr>
          <w:p w14:paraId="6B70EAB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1,126,419 </w:t>
            </w:r>
          </w:p>
        </w:tc>
        <w:tc>
          <w:tcPr>
            <w:tcW w:w="91" w:type="pct"/>
            <w:tcBorders>
              <w:top w:val="single" w:sz="4" w:space="0" w:color="auto"/>
              <w:left w:val="nil"/>
              <w:bottom w:val="single" w:sz="4" w:space="0" w:color="auto"/>
              <w:right w:val="nil"/>
            </w:tcBorders>
            <w:shd w:val="clear" w:color="auto" w:fill="auto"/>
            <w:noWrap/>
            <w:vAlign w:val="bottom"/>
            <w:hideMark/>
          </w:tcPr>
          <w:p w14:paraId="65E99D96"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4E4F705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422,473 </w:t>
            </w:r>
          </w:p>
        </w:tc>
      </w:tr>
      <w:tr w:rsidR="00C31BBD" w:rsidRPr="00C97EE6" w14:paraId="724764B1"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1F54A5D8"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City of Owen Sound</w:t>
            </w:r>
          </w:p>
        </w:tc>
        <w:tc>
          <w:tcPr>
            <w:tcW w:w="436" w:type="pct"/>
            <w:tcBorders>
              <w:top w:val="single" w:sz="4" w:space="0" w:color="auto"/>
              <w:left w:val="nil"/>
              <w:bottom w:val="single" w:sz="4" w:space="0" w:color="auto"/>
              <w:right w:val="nil"/>
            </w:tcBorders>
            <w:shd w:val="clear" w:color="000000" w:fill="DCE6F1"/>
            <w:noWrap/>
            <w:vAlign w:val="bottom"/>
            <w:hideMark/>
          </w:tcPr>
          <w:p w14:paraId="0D6B09C4"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16.5403%</w:t>
            </w:r>
          </w:p>
        </w:tc>
        <w:tc>
          <w:tcPr>
            <w:tcW w:w="487" w:type="pct"/>
            <w:tcBorders>
              <w:top w:val="single" w:sz="4" w:space="0" w:color="auto"/>
              <w:left w:val="nil"/>
              <w:bottom w:val="single" w:sz="4" w:space="0" w:color="auto"/>
              <w:right w:val="nil"/>
            </w:tcBorders>
            <w:shd w:val="clear" w:color="000000" w:fill="DCE6F1"/>
            <w:noWrap/>
            <w:vAlign w:val="bottom"/>
            <w:hideMark/>
          </w:tcPr>
          <w:p w14:paraId="5E6263D1"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620,455 </w:t>
            </w:r>
          </w:p>
        </w:tc>
        <w:tc>
          <w:tcPr>
            <w:tcW w:w="91" w:type="pct"/>
            <w:tcBorders>
              <w:top w:val="single" w:sz="4" w:space="0" w:color="auto"/>
              <w:left w:val="nil"/>
              <w:bottom w:val="single" w:sz="4" w:space="0" w:color="auto"/>
              <w:right w:val="nil"/>
            </w:tcBorders>
            <w:shd w:val="clear" w:color="auto" w:fill="auto"/>
            <w:noWrap/>
            <w:vAlign w:val="bottom"/>
            <w:hideMark/>
          </w:tcPr>
          <w:p w14:paraId="7F9C2AE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2527DCC8"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14.3733%</w:t>
            </w:r>
          </w:p>
        </w:tc>
        <w:tc>
          <w:tcPr>
            <w:tcW w:w="433" w:type="pct"/>
            <w:tcBorders>
              <w:top w:val="single" w:sz="4" w:space="0" w:color="auto"/>
              <w:left w:val="nil"/>
              <w:bottom w:val="single" w:sz="4" w:space="0" w:color="auto"/>
              <w:right w:val="nil"/>
            </w:tcBorders>
            <w:shd w:val="clear" w:color="000000" w:fill="C4D79B"/>
            <w:noWrap/>
            <w:vAlign w:val="bottom"/>
            <w:hideMark/>
          </w:tcPr>
          <w:p w14:paraId="054DA2E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883,917 </w:t>
            </w:r>
          </w:p>
        </w:tc>
        <w:tc>
          <w:tcPr>
            <w:tcW w:w="91" w:type="pct"/>
            <w:tcBorders>
              <w:top w:val="single" w:sz="4" w:space="0" w:color="auto"/>
              <w:left w:val="nil"/>
              <w:bottom w:val="single" w:sz="4" w:space="0" w:color="auto"/>
              <w:right w:val="nil"/>
            </w:tcBorders>
            <w:shd w:val="clear" w:color="auto" w:fill="auto"/>
            <w:noWrap/>
            <w:vAlign w:val="bottom"/>
            <w:hideMark/>
          </w:tcPr>
          <w:p w14:paraId="0E700F67"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7C0BA9D2"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$ 263,463 </w:t>
            </w:r>
          </w:p>
        </w:tc>
        <w:tc>
          <w:tcPr>
            <w:tcW w:w="91" w:type="pct"/>
            <w:tcBorders>
              <w:top w:val="single" w:sz="4" w:space="0" w:color="auto"/>
              <w:left w:val="nil"/>
              <w:bottom w:val="single" w:sz="4" w:space="0" w:color="auto"/>
              <w:right w:val="nil"/>
            </w:tcBorders>
            <w:shd w:val="clear" w:color="auto" w:fill="auto"/>
            <w:noWrap/>
            <w:vAlign w:val="bottom"/>
            <w:hideMark/>
          </w:tcPr>
          <w:p w14:paraId="667EE176"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2C9C5598"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14.3733%</w:t>
            </w:r>
          </w:p>
        </w:tc>
        <w:tc>
          <w:tcPr>
            <w:tcW w:w="557" w:type="pct"/>
            <w:tcBorders>
              <w:top w:val="single" w:sz="4" w:space="0" w:color="auto"/>
              <w:left w:val="nil"/>
              <w:bottom w:val="single" w:sz="4" w:space="0" w:color="auto"/>
              <w:right w:val="nil"/>
            </w:tcBorders>
            <w:shd w:val="clear" w:color="000000" w:fill="DDD9C4"/>
            <w:noWrap/>
            <w:vAlign w:val="bottom"/>
            <w:hideMark/>
          </w:tcPr>
          <w:p w14:paraId="048C6703"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1,414,401 </w:t>
            </w:r>
          </w:p>
        </w:tc>
        <w:tc>
          <w:tcPr>
            <w:tcW w:w="91" w:type="pct"/>
            <w:tcBorders>
              <w:top w:val="single" w:sz="4" w:space="0" w:color="auto"/>
              <w:left w:val="nil"/>
              <w:bottom w:val="single" w:sz="4" w:space="0" w:color="auto"/>
              <w:right w:val="nil"/>
            </w:tcBorders>
            <w:shd w:val="clear" w:color="auto" w:fill="auto"/>
            <w:noWrap/>
            <w:vAlign w:val="bottom"/>
            <w:hideMark/>
          </w:tcPr>
          <w:p w14:paraId="195899CF"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77116B1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530,483 </w:t>
            </w:r>
          </w:p>
        </w:tc>
      </w:tr>
      <w:tr w:rsidR="00C31BBD" w:rsidRPr="00C97EE6" w14:paraId="492E71F7"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37EED1D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Township of Southgate</w:t>
            </w:r>
          </w:p>
        </w:tc>
        <w:tc>
          <w:tcPr>
            <w:tcW w:w="436" w:type="pct"/>
            <w:tcBorders>
              <w:top w:val="single" w:sz="4" w:space="0" w:color="auto"/>
              <w:left w:val="nil"/>
              <w:bottom w:val="single" w:sz="4" w:space="0" w:color="auto"/>
              <w:right w:val="nil"/>
            </w:tcBorders>
            <w:shd w:val="clear" w:color="000000" w:fill="DCE6F1"/>
            <w:noWrap/>
            <w:vAlign w:val="bottom"/>
            <w:hideMark/>
          </w:tcPr>
          <w:p w14:paraId="5FF3E79C"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5.0826%</w:t>
            </w:r>
          </w:p>
        </w:tc>
        <w:tc>
          <w:tcPr>
            <w:tcW w:w="487" w:type="pct"/>
            <w:tcBorders>
              <w:top w:val="single" w:sz="4" w:space="0" w:color="auto"/>
              <w:left w:val="nil"/>
              <w:bottom w:val="single" w:sz="4" w:space="0" w:color="auto"/>
              <w:right w:val="nil"/>
            </w:tcBorders>
            <w:shd w:val="clear" w:color="000000" w:fill="DCE6F1"/>
            <w:noWrap/>
            <w:vAlign w:val="bottom"/>
            <w:hideMark/>
          </w:tcPr>
          <w:p w14:paraId="2B093DB7"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190,657 </w:t>
            </w:r>
          </w:p>
        </w:tc>
        <w:tc>
          <w:tcPr>
            <w:tcW w:w="91" w:type="pct"/>
            <w:tcBorders>
              <w:top w:val="single" w:sz="4" w:space="0" w:color="auto"/>
              <w:left w:val="nil"/>
              <w:bottom w:val="single" w:sz="4" w:space="0" w:color="auto"/>
              <w:right w:val="nil"/>
            </w:tcBorders>
            <w:shd w:val="clear" w:color="auto" w:fill="auto"/>
            <w:noWrap/>
            <w:vAlign w:val="bottom"/>
            <w:hideMark/>
          </w:tcPr>
          <w:p w14:paraId="1C915A7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0F49526B"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5.3509%</w:t>
            </w:r>
          </w:p>
        </w:tc>
        <w:tc>
          <w:tcPr>
            <w:tcW w:w="433" w:type="pct"/>
            <w:tcBorders>
              <w:top w:val="single" w:sz="4" w:space="0" w:color="auto"/>
              <w:left w:val="nil"/>
              <w:bottom w:val="single" w:sz="4" w:space="0" w:color="auto"/>
              <w:right w:val="nil"/>
            </w:tcBorders>
            <w:shd w:val="clear" w:color="000000" w:fill="C4D79B"/>
            <w:noWrap/>
            <w:vAlign w:val="bottom"/>
            <w:hideMark/>
          </w:tcPr>
          <w:p w14:paraId="0AEB80A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329,065 </w:t>
            </w:r>
          </w:p>
        </w:tc>
        <w:tc>
          <w:tcPr>
            <w:tcW w:w="91" w:type="pct"/>
            <w:tcBorders>
              <w:top w:val="single" w:sz="4" w:space="0" w:color="auto"/>
              <w:left w:val="nil"/>
              <w:bottom w:val="single" w:sz="4" w:space="0" w:color="auto"/>
              <w:right w:val="nil"/>
            </w:tcBorders>
            <w:shd w:val="clear" w:color="auto" w:fill="auto"/>
            <w:noWrap/>
            <w:vAlign w:val="bottom"/>
            <w:hideMark/>
          </w:tcPr>
          <w:p w14:paraId="07B35FD6"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07704E11"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$ 138,408 </w:t>
            </w:r>
          </w:p>
        </w:tc>
        <w:tc>
          <w:tcPr>
            <w:tcW w:w="91" w:type="pct"/>
            <w:tcBorders>
              <w:top w:val="single" w:sz="4" w:space="0" w:color="auto"/>
              <w:left w:val="nil"/>
              <w:bottom w:val="single" w:sz="4" w:space="0" w:color="auto"/>
              <w:right w:val="nil"/>
            </w:tcBorders>
            <w:shd w:val="clear" w:color="auto" w:fill="auto"/>
            <w:noWrap/>
            <w:vAlign w:val="bottom"/>
            <w:hideMark/>
          </w:tcPr>
          <w:p w14:paraId="7A6F93E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258ADC51"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5.3509%</w:t>
            </w:r>
          </w:p>
        </w:tc>
        <w:tc>
          <w:tcPr>
            <w:tcW w:w="557" w:type="pct"/>
            <w:tcBorders>
              <w:top w:val="single" w:sz="4" w:space="0" w:color="auto"/>
              <w:left w:val="nil"/>
              <w:bottom w:val="single" w:sz="4" w:space="0" w:color="auto"/>
              <w:right w:val="nil"/>
            </w:tcBorders>
            <w:shd w:val="clear" w:color="000000" w:fill="DDD9C4"/>
            <w:noWrap/>
            <w:vAlign w:val="bottom"/>
            <w:hideMark/>
          </w:tcPr>
          <w:p w14:paraId="5B32D495"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526,554 </w:t>
            </w:r>
          </w:p>
        </w:tc>
        <w:tc>
          <w:tcPr>
            <w:tcW w:w="91" w:type="pct"/>
            <w:tcBorders>
              <w:top w:val="single" w:sz="4" w:space="0" w:color="auto"/>
              <w:left w:val="nil"/>
              <w:bottom w:val="single" w:sz="4" w:space="0" w:color="auto"/>
              <w:right w:val="nil"/>
            </w:tcBorders>
            <w:shd w:val="clear" w:color="auto" w:fill="auto"/>
            <w:noWrap/>
            <w:vAlign w:val="bottom"/>
            <w:hideMark/>
          </w:tcPr>
          <w:p w14:paraId="48124B12"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00D6BD72"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197,489 </w:t>
            </w:r>
          </w:p>
        </w:tc>
      </w:tr>
      <w:tr w:rsidR="00C31BBD" w:rsidRPr="00C97EE6" w14:paraId="62A03B0C"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15D6E960"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The Town of The Blue Mountains</w:t>
            </w:r>
          </w:p>
        </w:tc>
        <w:tc>
          <w:tcPr>
            <w:tcW w:w="436" w:type="pct"/>
            <w:tcBorders>
              <w:top w:val="single" w:sz="4" w:space="0" w:color="auto"/>
              <w:left w:val="nil"/>
              <w:bottom w:val="single" w:sz="4" w:space="0" w:color="auto"/>
              <w:right w:val="nil"/>
            </w:tcBorders>
            <w:shd w:val="clear" w:color="000000" w:fill="DCE6F1"/>
            <w:noWrap/>
            <w:vAlign w:val="bottom"/>
            <w:hideMark/>
          </w:tcPr>
          <w:p w14:paraId="70C3C23E"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24.6026%</w:t>
            </w:r>
          </w:p>
        </w:tc>
        <w:tc>
          <w:tcPr>
            <w:tcW w:w="487" w:type="pct"/>
            <w:tcBorders>
              <w:top w:val="single" w:sz="4" w:space="0" w:color="auto"/>
              <w:left w:val="nil"/>
              <w:bottom w:val="single" w:sz="4" w:space="0" w:color="auto"/>
              <w:right w:val="nil"/>
            </w:tcBorders>
            <w:shd w:val="clear" w:color="000000" w:fill="DCE6F1"/>
            <w:noWrap/>
            <w:vAlign w:val="bottom"/>
            <w:hideMark/>
          </w:tcPr>
          <w:p w14:paraId="20FFB17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922,885 </w:t>
            </w:r>
          </w:p>
        </w:tc>
        <w:tc>
          <w:tcPr>
            <w:tcW w:w="91" w:type="pct"/>
            <w:tcBorders>
              <w:top w:val="single" w:sz="4" w:space="0" w:color="auto"/>
              <w:left w:val="nil"/>
              <w:bottom w:val="single" w:sz="4" w:space="0" w:color="auto"/>
              <w:right w:val="nil"/>
            </w:tcBorders>
            <w:shd w:val="clear" w:color="auto" w:fill="auto"/>
            <w:noWrap/>
            <w:vAlign w:val="bottom"/>
            <w:hideMark/>
          </w:tcPr>
          <w:p w14:paraId="0C48267B"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single" w:sz="4" w:space="0" w:color="auto"/>
              <w:right w:val="nil"/>
            </w:tcBorders>
            <w:shd w:val="clear" w:color="000000" w:fill="C4D79B"/>
            <w:noWrap/>
            <w:vAlign w:val="bottom"/>
            <w:hideMark/>
          </w:tcPr>
          <w:p w14:paraId="46F90703"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26.0128%</w:t>
            </w:r>
          </w:p>
        </w:tc>
        <w:tc>
          <w:tcPr>
            <w:tcW w:w="433" w:type="pct"/>
            <w:tcBorders>
              <w:top w:val="single" w:sz="4" w:space="0" w:color="auto"/>
              <w:left w:val="nil"/>
              <w:bottom w:val="single" w:sz="4" w:space="0" w:color="auto"/>
              <w:right w:val="nil"/>
            </w:tcBorders>
            <w:shd w:val="clear" w:color="000000" w:fill="C4D79B"/>
            <w:noWrap/>
            <w:vAlign w:val="bottom"/>
            <w:hideMark/>
          </w:tcPr>
          <w:p w14:paraId="5A8EDF1F"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1,599,714 </w:t>
            </w:r>
          </w:p>
        </w:tc>
        <w:tc>
          <w:tcPr>
            <w:tcW w:w="91" w:type="pct"/>
            <w:tcBorders>
              <w:top w:val="single" w:sz="4" w:space="0" w:color="auto"/>
              <w:left w:val="nil"/>
              <w:bottom w:val="single" w:sz="4" w:space="0" w:color="auto"/>
              <w:right w:val="nil"/>
            </w:tcBorders>
            <w:shd w:val="clear" w:color="auto" w:fill="auto"/>
            <w:noWrap/>
            <w:vAlign w:val="bottom"/>
            <w:hideMark/>
          </w:tcPr>
          <w:p w14:paraId="36128AB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single" w:sz="4" w:space="0" w:color="auto"/>
              <w:right w:val="nil"/>
            </w:tcBorders>
            <w:shd w:val="clear" w:color="000000" w:fill="FDE9D9"/>
            <w:noWrap/>
            <w:vAlign w:val="bottom"/>
            <w:hideMark/>
          </w:tcPr>
          <w:p w14:paraId="00608240"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$ 676,829 </w:t>
            </w:r>
          </w:p>
        </w:tc>
        <w:tc>
          <w:tcPr>
            <w:tcW w:w="91" w:type="pct"/>
            <w:tcBorders>
              <w:top w:val="single" w:sz="4" w:space="0" w:color="auto"/>
              <w:left w:val="nil"/>
              <w:bottom w:val="single" w:sz="4" w:space="0" w:color="auto"/>
              <w:right w:val="nil"/>
            </w:tcBorders>
            <w:shd w:val="clear" w:color="auto" w:fill="auto"/>
            <w:noWrap/>
            <w:vAlign w:val="bottom"/>
            <w:hideMark/>
          </w:tcPr>
          <w:p w14:paraId="117176B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single" w:sz="4" w:space="0" w:color="auto"/>
              <w:right w:val="nil"/>
            </w:tcBorders>
            <w:shd w:val="clear" w:color="000000" w:fill="DDD9C4"/>
            <w:noWrap/>
            <w:vAlign w:val="bottom"/>
            <w:hideMark/>
          </w:tcPr>
          <w:p w14:paraId="48E41D6D"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26.0128%</w:t>
            </w:r>
          </w:p>
        </w:tc>
        <w:tc>
          <w:tcPr>
            <w:tcW w:w="557" w:type="pct"/>
            <w:tcBorders>
              <w:top w:val="single" w:sz="4" w:space="0" w:color="auto"/>
              <w:left w:val="nil"/>
              <w:bottom w:val="single" w:sz="4" w:space="0" w:color="auto"/>
              <w:right w:val="nil"/>
            </w:tcBorders>
            <w:shd w:val="clear" w:color="000000" w:fill="DDD9C4"/>
            <w:noWrap/>
            <w:vAlign w:val="bottom"/>
            <w:hideMark/>
          </w:tcPr>
          <w:p w14:paraId="7249C9B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2,559,783 </w:t>
            </w:r>
          </w:p>
        </w:tc>
        <w:tc>
          <w:tcPr>
            <w:tcW w:w="91" w:type="pct"/>
            <w:tcBorders>
              <w:top w:val="single" w:sz="4" w:space="0" w:color="auto"/>
              <w:left w:val="nil"/>
              <w:bottom w:val="single" w:sz="4" w:space="0" w:color="auto"/>
              <w:right w:val="nil"/>
            </w:tcBorders>
            <w:shd w:val="clear" w:color="auto" w:fill="auto"/>
            <w:noWrap/>
            <w:vAlign w:val="bottom"/>
            <w:hideMark/>
          </w:tcPr>
          <w:p w14:paraId="13CCBC8A"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single" w:sz="4" w:space="0" w:color="auto"/>
              <w:right w:val="nil"/>
            </w:tcBorders>
            <w:shd w:val="clear" w:color="000000" w:fill="FFFF00"/>
            <w:noWrap/>
            <w:vAlign w:val="bottom"/>
            <w:hideMark/>
          </w:tcPr>
          <w:p w14:paraId="3069B70D"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960,069 </w:t>
            </w:r>
          </w:p>
        </w:tc>
      </w:tr>
      <w:tr w:rsidR="00C31BBD" w:rsidRPr="00C97EE6" w14:paraId="7674C448" w14:textId="77777777" w:rsidTr="00EE5C68">
        <w:trPr>
          <w:trHeight w:val="300"/>
        </w:trPr>
        <w:tc>
          <w:tcPr>
            <w:tcW w:w="793" w:type="pct"/>
            <w:tcBorders>
              <w:top w:val="single" w:sz="4" w:space="0" w:color="auto"/>
              <w:left w:val="nil"/>
              <w:bottom w:val="single" w:sz="4" w:space="0" w:color="auto"/>
              <w:right w:val="nil"/>
            </w:tcBorders>
            <w:shd w:val="clear" w:color="auto" w:fill="auto"/>
            <w:noWrap/>
            <w:vAlign w:val="bottom"/>
            <w:hideMark/>
          </w:tcPr>
          <w:p w14:paraId="38062695"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r w:rsidRPr="00DF3644">
              <w:rPr>
                <w:rFonts w:ascii="Calibri" w:eastAsia="Times New Roman" w:hAnsi="Calibri" w:cs="Times New Roman"/>
                <w:color w:val="000000"/>
                <w:sz w:val="22"/>
                <w:szCs w:val="22"/>
                <w:lang w:val="en-CA" w:eastAsia="en-CA"/>
              </w:rPr>
              <w:t>Municipality of West Grey</w:t>
            </w:r>
          </w:p>
        </w:tc>
        <w:tc>
          <w:tcPr>
            <w:tcW w:w="436" w:type="pct"/>
            <w:tcBorders>
              <w:top w:val="single" w:sz="4" w:space="0" w:color="auto"/>
              <w:left w:val="nil"/>
              <w:bottom w:val="nil"/>
              <w:right w:val="nil"/>
            </w:tcBorders>
            <w:shd w:val="clear" w:color="000000" w:fill="DCE6F1"/>
            <w:noWrap/>
            <w:vAlign w:val="bottom"/>
            <w:hideMark/>
          </w:tcPr>
          <w:p w14:paraId="5F02F932"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9.4876%</w:t>
            </w:r>
          </w:p>
        </w:tc>
        <w:tc>
          <w:tcPr>
            <w:tcW w:w="487" w:type="pct"/>
            <w:tcBorders>
              <w:top w:val="single" w:sz="4" w:space="0" w:color="auto"/>
              <w:left w:val="nil"/>
              <w:bottom w:val="nil"/>
              <w:right w:val="nil"/>
            </w:tcBorders>
            <w:shd w:val="clear" w:color="000000" w:fill="DCE6F1"/>
            <w:noWrap/>
            <w:vAlign w:val="bottom"/>
            <w:hideMark/>
          </w:tcPr>
          <w:p w14:paraId="101ECF8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355,896 </w:t>
            </w:r>
          </w:p>
        </w:tc>
        <w:tc>
          <w:tcPr>
            <w:tcW w:w="91" w:type="pct"/>
            <w:tcBorders>
              <w:top w:val="single" w:sz="4" w:space="0" w:color="auto"/>
              <w:left w:val="nil"/>
              <w:bottom w:val="nil"/>
              <w:right w:val="nil"/>
            </w:tcBorders>
            <w:shd w:val="clear" w:color="auto" w:fill="auto"/>
            <w:noWrap/>
            <w:vAlign w:val="bottom"/>
            <w:hideMark/>
          </w:tcPr>
          <w:p w14:paraId="090D2CA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nil"/>
              <w:right w:val="nil"/>
            </w:tcBorders>
            <w:shd w:val="clear" w:color="000000" w:fill="C4D79B"/>
            <w:noWrap/>
            <w:vAlign w:val="bottom"/>
            <w:hideMark/>
          </w:tcPr>
          <w:p w14:paraId="59764FF1"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9.7350%</w:t>
            </w:r>
          </w:p>
        </w:tc>
        <w:tc>
          <w:tcPr>
            <w:tcW w:w="433" w:type="pct"/>
            <w:tcBorders>
              <w:top w:val="single" w:sz="4" w:space="0" w:color="auto"/>
              <w:left w:val="nil"/>
              <w:bottom w:val="nil"/>
              <w:right w:val="nil"/>
            </w:tcBorders>
            <w:shd w:val="clear" w:color="000000" w:fill="C4D79B"/>
            <w:noWrap/>
            <w:vAlign w:val="bottom"/>
            <w:hideMark/>
          </w:tcPr>
          <w:p w14:paraId="2AE5AB8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w:t>
            </w:r>
            <w:r>
              <w:rPr>
                <w:rFonts w:ascii="Calibri" w:eastAsia="Times New Roman" w:hAnsi="Calibri" w:cs="Times New Roman"/>
                <w:color w:val="000000"/>
                <w:sz w:val="20"/>
                <w:szCs w:val="20"/>
                <w:lang w:val="en-CA" w:eastAsia="en-CA"/>
              </w:rPr>
              <w:t xml:space="preserve"> </w:t>
            </w:r>
            <w:r w:rsidRPr="00DF3644">
              <w:rPr>
                <w:rFonts w:ascii="Calibri" w:eastAsia="Times New Roman" w:hAnsi="Calibri" w:cs="Times New Roman"/>
                <w:color w:val="000000"/>
                <w:sz w:val="20"/>
                <w:szCs w:val="20"/>
                <w:lang w:val="en-CA" w:eastAsia="en-CA"/>
              </w:rPr>
              <w:t xml:space="preserve">598,675 </w:t>
            </w:r>
          </w:p>
        </w:tc>
        <w:tc>
          <w:tcPr>
            <w:tcW w:w="91" w:type="pct"/>
            <w:tcBorders>
              <w:top w:val="single" w:sz="4" w:space="0" w:color="auto"/>
              <w:left w:val="nil"/>
              <w:bottom w:val="nil"/>
              <w:right w:val="nil"/>
            </w:tcBorders>
            <w:shd w:val="clear" w:color="auto" w:fill="auto"/>
            <w:noWrap/>
            <w:vAlign w:val="bottom"/>
            <w:hideMark/>
          </w:tcPr>
          <w:p w14:paraId="47F1AE0F"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nil"/>
              <w:right w:val="nil"/>
            </w:tcBorders>
            <w:shd w:val="clear" w:color="000000" w:fill="FDE9D9"/>
            <w:noWrap/>
            <w:vAlign w:val="bottom"/>
            <w:hideMark/>
          </w:tcPr>
          <w:p w14:paraId="1DAF5DC0"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 xml:space="preserve"> $ 242,779 </w:t>
            </w:r>
          </w:p>
        </w:tc>
        <w:tc>
          <w:tcPr>
            <w:tcW w:w="91" w:type="pct"/>
            <w:tcBorders>
              <w:top w:val="single" w:sz="4" w:space="0" w:color="auto"/>
              <w:left w:val="nil"/>
              <w:bottom w:val="nil"/>
              <w:right w:val="nil"/>
            </w:tcBorders>
            <w:shd w:val="clear" w:color="auto" w:fill="auto"/>
            <w:noWrap/>
            <w:vAlign w:val="bottom"/>
            <w:hideMark/>
          </w:tcPr>
          <w:p w14:paraId="6BAC6298"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nil"/>
              <w:right w:val="nil"/>
            </w:tcBorders>
            <w:shd w:val="clear" w:color="000000" w:fill="DDD9C4"/>
            <w:noWrap/>
            <w:vAlign w:val="bottom"/>
            <w:hideMark/>
          </w:tcPr>
          <w:p w14:paraId="4F4F44DF"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9.7350%</w:t>
            </w:r>
          </w:p>
        </w:tc>
        <w:tc>
          <w:tcPr>
            <w:tcW w:w="557" w:type="pct"/>
            <w:tcBorders>
              <w:top w:val="single" w:sz="4" w:space="0" w:color="auto"/>
              <w:left w:val="nil"/>
              <w:bottom w:val="nil"/>
              <w:right w:val="nil"/>
            </w:tcBorders>
            <w:shd w:val="clear" w:color="000000" w:fill="DDD9C4"/>
            <w:noWrap/>
            <w:vAlign w:val="bottom"/>
            <w:hideMark/>
          </w:tcPr>
          <w:p w14:paraId="2F120F2E"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957,970 </w:t>
            </w:r>
          </w:p>
        </w:tc>
        <w:tc>
          <w:tcPr>
            <w:tcW w:w="91" w:type="pct"/>
            <w:tcBorders>
              <w:top w:val="single" w:sz="4" w:space="0" w:color="auto"/>
              <w:left w:val="nil"/>
              <w:bottom w:val="nil"/>
              <w:right w:val="nil"/>
            </w:tcBorders>
            <w:shd w:val="clear" w:color="auto" w:fill="auto"/>
            <w:noWrap/>
            <w:vAlign w:val="bottom"/>
            <w:hideMark/>
          </w:tcPr>
          <w:p w14:paraId="62DD2E5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nil"/>
              <w:right w:val="nil"/>
            </w:tcBorders>
            <w:shd w:val="clear" w:color="000000" w:fill="FFFF00"/>
            <w:noWrap/>
            <w:vAlign w:val="bottom"/>
            <w:hideMark/>
          </w:tcPr>
          <w:p w14:paraId="5A472574"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 $ </w:t>
            </w:r>
            <w:r w:rsidRPr="00DF3644">
              <w:rPr>
                <w:rFonts w:ascii="Calibri" w:eastAsia="Times New Roman" w:hAnsi="Calibri" w:cs="Times New Roman"/>
                <w:color w:val="000000"/>
                <w:sz w:val="20"/>
                <w:szCs w:val="20"/>
                <w:lang w:val="en-CA" w:eastAsia="en-CA"/>
              </w:rPr>
              <w:t xml:space="preserve">359,295 </w:t>
            </w:r>
          </w:p>
        </w:tc>
      </w:tr>
      <w:tr w:rsidR="00C31BBD" w:rsidRPr="00C97EE6" w14:paraId="6A54AA75" w14:textId="77777777" w:rsidTr="00EE5C68">
        <w:trPr>
          <w:trHeight w:val="300"/>
        </w:trPr>
        <w:tc>
          <w:tcPr>
            <w:tcW w:w="793" w:type="pct"/>
            <w:tcBorders>
              <w:top w:val="single" w:sz="4" w:space="0" w:color="auto"/>
              <w:left w:val="nil"/>
              <w:bottom w:val="nil"/>
              <w:right w:val="nil"/>
            </w:tcBorders>
            <w:shd w:val="clear" w:color="auto" w:fill="auto"/>
            <w:noWrap/>
            <w:vAlign w:val="bottom"/>
            <w:hideMark/>
          </w:tcPr>
          <w:p w14:paraId="789AE2A2" w14:textId="77777777" w:rsidR="00C31BBD" w:rsidRPr="00DF3644" w:rsidRDefault="00C31BBD" w:rsidP="00EE5C68">
            <w:pPr>
              <w:spacing w:after="0" w:line="240" w:lineRule="auto"/>
              <w:rPr>
                <w:rFonts w:ascii="Calibri" w:eastAsia="Times New Roman" w:hAnsi="Calibri" w:cs="Times New Roman"/>
                <w:color w:val="000000"/>
                <w:sz w:val="22"/>
                <w:szCs w:val="22"/>
                <w:lang w:val="en-CA" w:eastAsia="en-CA"/>
              </w:rPr>
            </w:pPr>
          </w:p>
        </w:tc>
        <w:tc>
          <w:tcPr>
            <w:tcW w:w="436" w:type="pct"/>
            <w:tcBorders>
              <w:top w:val="single" w:sz="4" w:space="0" w:color="auto"/>
              <w:left w:val="nil"/>
              <w:bottom w:val="nil"/>
              <w:right w:val="nil"/>
            </w:tcBorders>
            <w:shd w:val="clear" w:color="000000" w:fill="DCE6F1"/>
            <w:noWrap/>
            <w:vAlign w:val="bottom"/>
            <w:hideMark/>
          </w:tcPr>
          <w:p w14:paraId="68F55104"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100.0000%</w:t>
            </w:r>
          </w:p>
        </w:tc>
        <w:tc>
          <w:tcPr>
            <w:tcW w:w="487" w:type="pct"/>
            <w:tcBorders>
              <w:top w:val="single" w:sz="4" w:space="0" w:color="auto"/>
              <w:left w:val="nil"/>
              <w:bottom w:val="nil"/>
              <w:right w:val="nil"/>
            </w:tcBorders>
            <w:shd w:val="clear" w:color="000000" w:fill="DCE6F1"/>
            <w:noWrap/>
            <w:vAlign w:val="bottom"/>
            <w:hideMark/>
          </w:tcPr>
          <w:p w14:paraId="26320383" w14:textId="77777777" w:rsidR="00C31BBD" w:rsidRPr="00DF3644" w:rsidRDefault="00C31BBD" w:rsidP="00EE5C68">
            <w:pPr>
              <w:spacing w:after="0" w:line="240" w:lineRule="auto"/>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 xml:space="preserve"> $ </w:t>
            </w:r>
            <w:r w:rsidRPr="00DF3644">
              <w:rPr>
                <w:rFonts w:ascii="Calibri" w:eastAsia="Times New Roman" w:hAnsi="Calibri" w:cs="Times New Roman"/>
                <w:b/>
                <w:bCs/>
                <w:color w:val="000000"/>
                <w:sz w:val="20"/>
                <w:szCs w:val="20"/>
                <w:lang w:val="en-CA" w:eastAsia="en-CA"/>
              </w:rPr>
              <w:t xml:space="preserve">3,751,169 </w:t>
            </w:r>
          </w:p>
        </w:tc>
        <w:tc>
          <w:tcPr>
            <w:tcW w:w="91" w:type="pct"/>
            <w:tcBorders>
              <w:top w:val="nil"/>
              <w:left w:val="nil"/>
              <w:bottom w:val="nil"/>
              <w:right w:val="nil"/>
            </w:tcBorders>
            <w:shd w:val="clear" w:color="auto" w:fill="auto"/>
            <w:noWrap/>
            <w:vAlign w:val="bottom"/>
            <w:hideMark/>
          </w:tcPr>
          <w:p w14:paraId="67BD7222"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8" w:type="pct"/>
            <w:tcBorders>
              <w:top w:val="single" w:sz="4" w:space="0" w:color="auto"/>
              <w:left w:val="nil"/>
              <w:bottom w:val="nil"/>
              <w:right w:val="nil"/>
            </w:tcBorders>
            <w:shd w:val="clear" w:color="000000" w:fill="C4D79B"/>
            <w:noWrap/>
            <w:vAlign w:val="bottom"/>
            <w:hideMark/>
          </w:tcPr>
          <w:p w14:paraId="69D06F5F"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100.0000%</w:t>
            </w:r>
          </w:p>
        </w:tc>
        <w:tc>
          <w:tcPr>
            <w:tcW w:w="433" w:type="pct"/>
            <w:tcBorders>
              <w:top w:val="single" w:sz="4" w:space="0" w:color="auto"/>
              <w:left w:val="nil"/>
              <w:bottom w:val="nil"/>
              <w:right w:val="nil"/>
            </w:tcBorders>
            <w:shd w:val="clear" w:color="000000" w:fill="C4D79B"/>
            <w:noWrap/>
            <w:vAlign w:val="bottom"/>
            <w:hideMark/>
          </w:tcPr>
          <w:p w14:paraId="7C4D745D" w14:textId="77777777" w:rsidR="00C31BBD" w:rsidRPr="00DF3644" w:rsidRDefault="00C31BBD" w:rsidP="00EE5C68">
            <w:pPr>
              <w:spacing w:after="0" w:line="240" w:lineRule="auto"/>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 xml:space="preserve"> $</w:t>
            </w:r>
            <w:r w:rsidRPr="00DF3644">
              <w:rPr>
                <w:rFonts w:ascii="Calibri" w:eastAsia="Times New Roman" w:hAnsi="Calibri" w:cs="Times New Roman"/>
                <w:b/>
                <w:bCs/>
                <w:color w:val="000000"/>
                <w:sz w:val="20"/>
                <w:szCs w:val="20"/>
                <w:lang w:val="en-CA" w:eastAsia="en-CA"/>
              </w:rPr>
              <w:t xml:space="preserve">6,149,718 </w:t>
            </w:r>
          </w:p>
        </w:tc>
        <w:tc>
          <w:tcPr>
            <w:tcW w:w="91" w:type="pct"/>
            <w:tcBorders>
              <w:top w:val="nil"/>
              <w:left w:val="nil"/>
              <w:bottom w:val="nil"/>
              <w:right w:val="nil"/>
            </w:tcBorders>
            <w:shd w:val="clear" w:color="auto" w:fill="auto"/>
            <w:noWrap/>
            <w:vAlign w:val="bottom"/>
            <w:hideMark/>
          </w:tcPr>
          <w:p w14:paraId="4276005B"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552" w:type="pct"/>
            <w:tcBorders>
              <w:top w:val="single" w:sz="4" w:space="0" w:color="auto"/>
              <w:left w:val="nil"/>
              <w:bottom w:val="nil"/>
              <w:right w:val="nil"/>
            </w:tcBorders>
            <w:shd w:val="clear" w:color="000000" w:fill="FDE9D9"/>
            <w:noWrap/>
            <w:vAlign w:val="bottom"/>
            <w:hideMark/>
          </w:tcPr>
          <w:p w14:paraId="43F8848A" w14:textId="77777777" w:rsidR="00C31BBD" w:rsidRPr="00DF3644" w:rsidRDefault="00C31BBD" w:rsidP="00EE5C68">
            <w:pPr>
              <w:spacing w:after="0" w:line="240" w:lineRule="auto"/>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 xml:space="preserve"> $</w:t>
            </w:r>
            <w:r w:rsidRPr="00DF3644">
              <w:rPr>
                <w:rFonts w:ascii="Calibri" w:eastAsia="Times New Roman" w:hAnsi="Calibri" w:cs="Times New Roman"/>
                <w:b/>
                <w:bCs/>
                <w:color w:val="000000"/>
                <w:sz w:val="20"/>
                <w:szCs w:val="20"/>
                <w:lang w:val="en-CA" w:eastAsia="en-CA"/>
              </w:rPr>
              <w:t xml:space="preserve">2,398,549 </w:t>
            </w:r>
          </w:p>
        </w:tc>
        <w:tc>
          <w:tcPr>
            <w:tcW w:w="91" w:type="pct"/>
            <w:tcBorders>
              <w:top w:val="nil"/>
              <w:left w:val="nil"/>
              <w:bottom w:val="nil"/>
              <w:right w:val="nil"/>
            </w:tcBorders>
            <w:shd w:val="clear" w:color="auto" w:fill="auto"/>
            <w:noWrap/>
            <w:vAlign w:val="bottom"/>
            <w:hideMark/>
          </w:tcPr>
          <w:p w14:paraId="30018809"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47" w:type="pct"/>
            <w:tcBorders>
              <w:top w:val="single" w:sz="4" w:space="0" w:color="auto"/>
              <w:left w:val="nil"/>
              <w:bottom w:val="nil"/>
              <w:right w:val="nil"/>
            </w:tcBorders>
            <w:shd w:val="clear" w:color="000000" w:fill="DDD9C4"/>
            <w:noWrap/>
            <w:vAlign w:val="bottom"/>
            <w:hideMark/>
          </w:tcPr>
          <w:p w14:paraId="45CC9C4F" w14:textId="77777777" w:rsidR="00C31BBD" w:rsidRPr="00DF3644" w:rsidRDefault="00C31BBD" w:rsidP="00EE5C68">
            <w:pPr>
              <w:spacing w:after="0" w:line="240" w:lineRule="auto"/>
              <w:jc w:val="right"/>
              <w:rPr>
                <w:rFonts w:ascii="Calibri" w:eastAsia="Times New Roman" w:hAnsi="Calibri" w:cs="Times New Roman"/>
                <w:color w:val="000000"/>
                <w:sz w:val="20"/>
                <w:szCs w:val="20"/>
                <w:lang w:val="en-CA" w:eastAsia="en-CA"/>
              </w:rPr>
            </w:pPr>
            <w:r w:rsidRPr="00DF3644">
              <w:rPr>
                <w:rFonts w:ascii="Calibri" w:eastAsia="Times New Roman" w:hAnsi="Calibri" w:cs="Times New Roman"/>
                <w:color w:val="000000"/>
                <w:sz w:val="20"/>
                <w:szCs w:val="20"/>
                <w:lang w:val="en-CA" w:eastAsia="en-CA"/>
              </w:rPr>
              <w:t>100.0000%</w:t>
            </w:r>
          </w:p>
        </w:tc>
        <w:tc>
          <w:tcPr>
            <w:tcW w:w="557" w:type="pct"/>
            <w:tcBorders>
              <w:top w:val="single" w:sz="4" w:space="0" w:color="auto"/>
              <w:left w:val="nil"/>
              <w:bottom w:val="nil"/>
              <w:right w:val="nil"/>
            </w:tcBorders>
            <w:shd w:val="clear" w:color="000000" w:fill="DDD9C4"/>
            <w:noWrap/>
            <w:vAlign w:val="bottom"/>
            <w:hideMark/>
          </w:tcPr>
          <w:p w14:paraId="559550C6" w14:textId="77777777" w:rsidR="00C31BBD" w:rsidRPr="00DF3644" w:rsidRDefault="00C31BBD" w:rsidP="00EE5C68">
            <w:pPr>
              <w:spacing w:after="0" w:line="240" w:lineRule="auto"/>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 xml:space="preserve"> $</w:t>
            </w:r>
            <w:r w:rsidRPr="00DF3644">
              <w:rPr>
                <w:rFonts w:ascii="Calibri" w:eastAsia="Times New Roman" w:hAnsi="Calibri" w:cs="Times New Roman"/>
                <w:b/>
                <w:bCs/>
                <w:color w:val="000000"/>
                <w:sz w:val="20"/>
                <w:szCs w:val="20"/>
                <w:lang w:val="en-CA" w:eastAsia="en-CA"/>
              </w:rPr>
              <w:t xml:space="preserve">9,840,474 </w:t>
            </w:r>
          </w:p>
        </w:tc>
        <w:tc>
          <w:tcPr>
            <w:tcW w:w="91" w:type="pct"/>
            <w:tcBorders>
              <w:top w:val="nil"/>
              <w:left w:val="nil"/>
              <w:bottom w:val="nil"/>
              <w:right w:val="nil"/>
            </w:tcBorders>
            <w:shd w:val="clear" w:color="auto" w:fill="auto"/>
            <w:noWrap/>
            <w:vAlign w:val="bottom"/>
            <w:hideMark/>
          </w:tcPr>
          <w:p w14:paraId="5C48A01B" w14:textId="77777777" w:rsidR="00C31BBD" w:rsidRPr="00DF3644" w:rsidRDefault="00C31BBD" w:rsidP="00EE5C68">
            <w:pPr>
              <w:spacing w:after="0" w:line="240" w:lineRule="auto"/>
              <w:rPr>
                <w:rFonts w:ascii="Calibri" w:eastAsia="Times New Roman" w:hAnsi="Calibri" w:cs="Times New Roman"/>
                <w:color w:val="000000"/>
                <w:sz w:val="20"/>
                <w:szCs w:val="20"/>
                <w:lang w:val="en-CA" w:eastAsia="en-CA"/>
              </w:rPr>
            </w:pPr>
          </w:p>
        </w:tc>
        <w:tc>
          <w:tcPr>
            <w:tcW w:w="482" w:type="pct"/>
            <w:tcBorders>
              <w:top w:val="single" w:sz="4" w:space="0" w:color="auto"/>
              <w:left w:val="nil"/>
              <w:bottom w:val="nil"/>
              <w:right w:val="nil"/>
            </w:tcBorders>
            <w:shd w:val="clear" w:color="000000" w:fill="FFFF00"/>
            <w:noWrap/>
            <w:vAlign w:val="bottom"/>
            <w:hideMark/>
          </w:tcPr>
          <w:p w14:paraId="69332664" w14:textId="77777777" w:rsidR="00C31BBD" w:rsidRPr="00DF3644" w:rsidRDefault="00C31BBD" w:rsidP="00EE5C68">
            <w:pPr>
              <w:spacing w:after="0" w:line="240" w:lineRule="auto"/>
              <w:rPr>
                <w:rFonts w:ascii="Calibri" w:eastAsia="Times New Roman" w:hAnsi="Calibri" w:cs="Times New Roman"/>
                <w:b/>
                <w:bCs/>
                <w:color w:val="000000"/>
                <w:sz w:val="20"/>
                <w:szCs w:val="20"/>
                <w:lang w:val="en-CA" w:eastAsia="en-CA"/>
              </w:rPr>
            </w:pPr>
            <w:r>
              <w:rPr>
                <w:rFonts w:ascii="Calibri" w:eastAsia="Times New Roman" w:hAnsi="Calibri" w:cs="Times New Roman"/>
                <w:b/>
                <w:bCs/>
                <w:color w:val="000000"/>
                <w:sz w:val="20"/>
                <w:szCs w:val="20"/>
                <w:lang w:val="en-CA" w:eastAsia="en-CA"/>
              </w:rPr>
              <w:t xml:space="preserve"> $</w:t>
            </w:r>
            <w:r w:rsidRPr="00DF3644">
              <w:rPr>
                <w:rFonts w:ascii="Calibri" w:eastAsia="Times New Roman" w:hAnsi="Calibri" w:cs="Times New Roman"/>
                <w:b/>
                <w:bCs/>
                <w:color w:val="000000"/>
                <w:sz w:val="20"/>
                <w:szCs w:val="20"/>
                <w:lang w:val="en-CA" w:eastAsia="en-CA"/>
              </w:rPr>
              <w:t xml:space="preserve">3,690,756 </w:t>
            </w:r>
          </w:p>
        </w:tc>
      </w:tr>
    </w:tbl>
    <w:p w14:paraId="51ACF073" w14:textId="77777777" w:rsidR="00C31BBD" w:rsidRDefault="00C31BBD" w:rsidP="00C31BBD">
      <w:pPr>
        <w:ind w:firstLine="720"/>
        <w:rPr>
          <w:lang w:val="en-CA"/>
        </w:rPr>
      </w:pPr>
    </w:p>
    <w:p w14:paraId="6EE81291" w14:textId="77777777" w:rsidR="00BC5922" w:rsidRDefault="003821F1" w:rsidP="003821F1">
      <w:pPr>
        <w:rPr>
          <w:lang w:val="en-CA"/>
        </w:rPr>
        <w:sectPr w:rsidR="00BC5922" w:rsidSect="00C31BBD">
          <w:pgSz w:w="15840" w:h="12240" w:orient="landscape"/>
          <w:pgMar w:top="1440" w:right="1440" w:bottom="1440" w:left="1440" w:header="720" w:footer="720" w:gutter="0"/>
          <w:cols w:space="720"/>
          <w:docGrid w:linePitch="360"/>
        </w:sectPr>
      </w:pPr>
      <w:r>
        <w:rPr>
          <w:lang w:val="en-CA"/>
        </w:rPr>
        <w:t>This chart illustrates the previous 10 year and future 10 year projected levy impact per municipality for the status quo long term care operations. Note that while the allocation of the County levy is adjusted annually based on MPAC’s returned assessment role, for the purposes of this illustration, the 2017 levy allocation was used for the 2027 projection.</w:t>
      </w:r>
    </w:p>
    <w:p w14:paraId="1DEBC4F5" w14:textId="77777777" w:rsidR="00A011B9" w:rsidRDefault="00A011B9" w:rsidP="00A011B9">
      <w:pPr>
        <w:pStyle w:val="Heading2"/>
        <w:keepNext w:val="0"/>
        <w:widowControl w:val="0"/>
      </w:pPr>
      <w:r>
        <w:lastRenderedPageBreak/>
        <w:t>Financial/Staffing/Legal/Information Technology Considerations</w:t>
      </w:r>
    </w:p>
    <w:p w14:paraId="19E548C5" w14:textId="5B2614CD" w:rsidR="00EA6A9F" w:rsidRDefault="00EA6A9F" w:rsidP="00D16539">
      <w:r>
        <w:t xml:space="preserve">There has been considerable discussion regarding the </w:t>
      </w:r>
      <w:r w:rsidR="00BC5922">
        <w:t xml:space="preserve">most appropriate way to structure </w:t>
      </w:r>
      <w:r>
        <w:t xml:space="preserve">long term care </w:t>
      </w:r>
      <w:r w:rsidR="00BC5922">
        <w:t xml:space="preserve">services </w:t>
      </w:r>
      <w:r>
        <w:t>to meet the current and future needs</w:t>
      </w:r>
      <w:r w:rsidR="00BC5922">
        <w:t xml:space="preserve"> of the citizens of Grey County</w:t>
      </w:r>
      <w:r>
        <w:t xml:space="preserve">. </w:t>
      </w:r>
    </w:p>
    <w:p w14:paraId="6ABDD061" w14:textId="1C6472C4" w:rsidR="009A07BA" w:rsidRDefault="00BC5922" w:rsidP="00B245CA">
      <w:r>
        <w:t xml:space="preserve">Maintaining the status quo option of three homes comes with challenges as outlined in this report. </w:t>
      </w:r>
      <w:r w:rsidR="009A07BA">
        <w:t xml:space="preserve">Provincial funding has not kept pace with the cost for staff, supplies and </w:t>
      </w:r>
      <w:r w:rsidR="0011303D">
        <w:t>equipment</w:t>
      </w:r>
      <w:r w:rsidR="009A07BA">
        <w:t xml:space="preserve"> needed to manage an increasing complex resident population</w:t>
      </w:r>
      <w:r w:rsidR="00016C05">
        <w:t xml:space="preserve"> and there will be an ongoing requirement for a municipal levy contribution to support the operating and capital requirements of the homes</w:t>
      </w:r>
      <w:r w:rsidR="009A07BA">
        <w:t xml:space="preserve">. Funding to offset the deficit has had an increasing financial impact on the property tax base over the past 10 years and it is projected that this trend will continue. </w:t>
      </w:r>
      <w:r>
        <w:t xml:space="preserve">A small home with a small staff complement will have a more difficult time in meeting the challenges of service delivery in the future. </w:t>
      </w:r>
    </w:p>
    <w:p w14:paraId="1C99BB1B" w14:textId="77777777" w:rsidR="00A011B9" w:rsidRDefault="00A011B9" w:rsidP="00A011B9">
      <w:pPr>
        <w:pStyle w:val="Heading2"/>
        <w:keepNext w:val="0"/>
        <w:widowControl w:val="0"/>
      </w:pPr>
      <w:r>
        <w:t>Link to Strategic Goals/Priorities</w:t>
      </w:r>
    </w:p>
    <w:p w14:paraId="503C500C" w14:textId="5172DFD6" w:rsidR="00B578BB" w:rsidRDefault="00B578BB" w:rsidP="00B578BB">
      <w:r>
        <w:t>Goal 2- Support Health Connected Communities</w:t>
      </w:r>
    </w:p>
    <w:p w14:paraId="3F0207C2" w14:textId="264A2434" w:rsidR="00B578BB" w:rsidRDefault="00B578BB" w:rsidP="00B578BB">
      <w:r>
        <w:t>Priority Outcome (b) Improved sustainability of service and service delivery for Grey County communities.</w:t>
      </w:r>
    </w:p>
    <w:p w14:paraId="5C3B0DF0" w14:textId="025034DA" w:rsidR="00A011B9" w:rsidRDefault="00A011B9" w:rsidP="00860E32">
      <w:pPr>
        <w:pStyle w:val="Heading2"/>
        <w:keepNext w:val="0"/>
        <w:widowControl w:val="0"/>
      </w:pPr>
      <w:r>
        <w:t xml:space="preserve">Attachments and Background Information </w:t>
      </w:r>
    </w:p>
    <w:p w14:paraId="2E036408" w14:textId="77777777" w:rsidR="008E6B26" w:rsidRPr="008E6B26" w:rsidRDefault="008E6B26" w:rsidP="008E6B26"/>
    <w:p w14:paraId="60929710" w14:textId="77777777" w:rsidR="00A011B9" w:rsidRDefault="00A011B9" w:rsidP="00A011B9">
      <w:pPr>
        <w:widowControl w:val="0"/>
      </w:pPr>
      <w:r>
        <w:t>Respectfully submitted by,</w:t>
      </w:r>
    </w:p>
    <w:p w14:paraId="38A95F3A" w14:textId="77777777" w:rsidR="00A011B9" w:rsidRPr="00B0378D" w:rsidRDefault="00A011B9" w:rsidP="00A011B9">
      <w:pPr>
        <w:widowControl w:val="0"/>
      </w:pPr>
      <w:r>
        <w:t>Lynne Johnson</w:t>
      </w:r>
      <w:r>
        <w:br/>
        <w:t>Director of Long Term Care</w:t>
      </w:r>
    </w:p>
    <w:p w14:paraId="2E621D72" w14:textId="62B4F692" w:rsidR="0006640F" w:rsidRPr="00B0378D" w:rsidRDefault="0006640F" w:rsidP="00A011B9">
      <w:pPr>
        <w:pStyle w:val="Heading3"/>
        <w:keepNext w:val="0"/>
        <w:widowControl w:val="0"/>
      </w:pPr>
    </w:p>
    <w:sectPr w:rsidR="0006640F" w:rsidRPr="00B0378D" w:rsidSect="007E4720">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9954" w14:textId="77777777" w:rsidR="00FA4269" w:rsidRDefault="00FA4269" w:rsidP="00883D8D">
      <w:pPr>
        <w:spacing w:after="0" w:line="240" w:lineRule="auto"/>
      </w:pPr>
      <w:r>
        <w:separator/>
      </w:r>
    </w:p>
    <w:p w14:paraId="26FD1252" w14:textId="77777777" w:rsidR="00FA4269" w:rsidRDefault="00FA4269"/>
  </w:endnote>
  <w:endnote w:type="continuationSeparator" w:id="0">
    <w:p w14:paraId="0AEC7F69" w14:textId="77777777" w:rsidR="00FA4269" w:rsidRDefault="00FA4269" w:rsidP="00883D8D">
      <w:pPr>
        <w:spacing w:after="0" w:line="240" w:lineRule="auto"/>
      </w:pPr>
      <w:r>
        <w:continuationSeparator/>
      </w:r>
    </w:p>
    <w:p w14:paraId="2DE0A175" w14:textId="77777777" w:rsidR="00FA4269" w:rsidRDefault="00FA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987D" w14:textId="7B853013" w:rsidR="003821F1" w:rsidRDefault="003821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LTCR-CW-07-17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D7F4C" w:rsidRPr="006D7F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A0084E2" w14:textId="77777777" w:rsidR="003821F1" w:rsidRDefault="0038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63FD" w14:textId="76F65A93" w:rsidR="002D1926" w:rsidRDefault="002D19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LTCR-CW-07-17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D7F4C" w:rsidRPr="006D7F4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14:paraId="0284D941" w14:textId="09B24449" w:rsidR="007E4720" w:rsidRPr="007E4720" w:rsidRDefault="007E4720" w:rsidP="007E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A329" w14:textId="77777777" w:rsidR="00FA4269" w:rsidRDefault="00FA4269" w:rsidP="00883D8D">
      <w:pPr>
        <w:spacing w:after="0" w:line="240" w:lineRule="auto"/>
      </w:pPr>
      <w:r>
        <w:separator/>
      </w:r>
    </w:p>
    <w:p w14:paraId="5EDF1BE2" w14:textId="77777777" w:rsidR="00FA4269" w:rsidRDefault="00FA4269"/>
  </w:footnote>
  <w:footnote w:type="continuationSeparator" w:id="0">
    <w:p w14:paraId="4420D534" w14:textId="77777777" w:rsidR="00FA4269" w:rsidRDefault="00FA4269" w:rsidP="00883D8D">
      <w:pPr>
        <w:spacing w:after="0" w:line="240" w:lineRule="auto"/>
      </w:pPr>
      <w:r>
        <w:continuationSeparator/>
      </w:r>
    </w:p>
    <w:p w14:paraId="3AA01251" w14:textId="77777777" w:rsidR="00FA4269" w:rsidRDefault="00FA4269"/>
  </w:footnote>
  <w:footnote w:id="1">
    <w:p w14:paraId="38985398" w14:textId="77777777" w:rsidR="00333FF1" w:rsidRPr="00333FF1" w:rsidRDefault="00333FF1" w:rsidP="00333FF1">
      <w:pPr>
        <w:pStyle w:val="FootnoteText"/>
        <w:rPr>
          <w:lang w:val="en-CA"/>
        </w:rPr>
      </w:pPr>
      <w:r>
        <w:rPr>
          <w:rStyle w:val="FootnoteReference"/>
        </w:rPr>
        <w:footnoteRef/>
      </w:r>
      <w:r>
        <w:t xml:space="preserve"> </w:t>
      </w:r>
      <w:r>
        <w:rPr>
          <w:lang w:val="en-CA"/>
        </w:rPr>
        <w:t>Sienna Senior Living, Redevelopment Analysis, April 5, 2016, page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5DE"/>
    <w:multiLevelType w:val="hybridMultilevel"/>
    <w:tmpl w:val="72BA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CB3A6D"/>
    <w:multiLevelType w:val="hybridMultilevel"/>
    <w:tmpl w:val="3C10B1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25E55ED"/>
    <w:multiLevelType w:val="hybridMultilevel"/>
    <w:tmpl w:val="D47E9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5B3F90"/>
    <w:multiLevelType w:val="hybridMultilevel"/>
    <w:tmpl w:val="1688C5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661274"/>
    <w:multiLevelType w:val="hybridMultilevel"/>
    <w:tmpl w:val="34D42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5B2542"/>
    <w:multiLevelType w:val="hybridMultilevel"/>
    <w:tmpl w:val="20445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CA6B5A"/>
    <w:multiLevelType w:val="hybridMultilevel"/>
    <w:tmpl w:val="A3A0D630"/>
    <w:lvl w:ilvl="0" w:tplc="94D64C40">
      <w:start w:val="1"/>
      <w:numFmt w:val="decimal"/>
      <w:lvlText w:val="%1."/>
      <w:lvlJc w:val="left"/>
      <w:pPr>
        <w:ind w:left="1494" w:hanging="360"/>
      </w:pPr>
      <w:rPr>
        <w:rFonts w:cs="Arial"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nsid w:val="2E77539D"/>
    <w:multiLevelType w:val="hybridMultilevel"/>
    <w:tmpl w:val="ECF88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B8519F"/>
    <w:multiLevelType w:val="hybridMultilevel"/>
    <w:tmpl w:val="B6DC8F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0397C9E"/>
    <w:multiLevelType w:val="hybridMultilevel"/>
    <w:tmpl w:val="1E6C6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A47E15"/>
    <w:multiLevelType w:val="hybridMultilevel"/>
    <w:tmpl w:val="8B64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761466"/>
    <w:multiLevelType w:val="hybridMultilevel"/>
    <w:tmpl w:val="9CF86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676C36"/>
    <w:multiLevelType w:val="hybridMultilevel"/>
    <w:tmpl w:val="3FB0ADD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3">
    <w:nsid w:val="658C0B50"/>
    <w:multiLevelType w:val="hybridMultilevel"/>
    <w:tmpl w:val="4AD66D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7101FB0"/>
    <w:multiLevelType w:val="hybridMultilevel"/>
    <w:tmpl w:val="AEA6B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CC521B3"/>
    <w:multiLevelType w:val="hybridMultilevel"/>
    <w:tmpl w:val="27D6C3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4343BE2"/>
    <w:multiLevelType w:val="hybridMultilevel"/>
    <w:tmpl w:val="04EC3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94A57DD"/>
    <w:multiLevelType w:val="hybridMultilevel"/>
    <w:tmpl w:val="4AD66D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6"/>
  </w:num>
  <w:num w:numId="5">
    <w:abstractNumId w:val="2"/>
  </w:num>
  <w:num w:numId="6">
    <w:abstractNumId w:val="3"/>
  </w:num>
  <w:num w:numId="7">
    <w:abstractNumId w:val="8"/>
  </w:num>
  <w:num w:numId="8">
    <w:abstractNumId w:val="4"/>
  </w:num>
  <w:num w:numId="9">
    <w:abstractNumId w:val="15"/>
  </w:num>
  <w:num w:numId="10">
    <w:abstractNumId w:val="11"/>
  </w:num>
  <w:num w:numId="11">
    <w:abstractNumId w:val="14"/>
  </w:num>
  <w:num w:numId="12">
    <w:abstractNumId w:val="1"/>
  </w:num>
  <w:num w:numId="13">
    <w:abstractNumId w:val="16"/>
  </w:num>
  <w:num w:numId="14">
    <w:abstractNumId w:val="7"/>
  </w:num>
  <w:num w:numId="15">
    <w:abstractNumId w:val="10"/>
  </w:num>
  <w:num w:numId="16">
    <w:abstractNumId w:val="13"/>
  </w:num>
  <w:num w:numId="17">
    <w:abstractNumId w:val="17"/>
  </w:num>
  <w:num w:numId="18">
    <w:abstractNumId w:val="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2E20"/>
    <w:rsid w:val="00012A79"/>
    <w:rsid w:val="00016C05"/>
    <w:rsid w:val="000238CB"/>
    <w:rsid w:val="00031238"/>
    <w:rsid w:val="00031B84"/>
    <w:rsid w:val="00045D72"/>
    <w:rsid w:val="0004742A"/>
    <w:rsid w:val="00047A0A"/>
    <w:rsid w:val="00063315"/>
    <w:rsid w:val="0006640F"/>
    <w:rsid w:val="00070432"/>
    <w:rsid w:val="00081E75"/>
    <w:rsid w:val="00081FCF"/>
    <w:rsid w:val="0008418C"/>
    <w:rsid w:val="000903BC"/>
    <w:rsid w:val="00090F50"/>
    <w:rsid w:val="000B7C11"/>
    <w:rsid w:val="000E2301"/>
    <w:rsid w:val="000E6B16"/>
    <w:rsid w:val="000F7C26"/>
    <w:rsid w:val="0011303D"/>
    <w:rsid w:val="00113FCB"/>
    <w:rsid w:val="0012378C"/>
    <w:rsid w:val="00131517"/>
    <w:rsid w:val="0015269C"/>
    <w:rsid w:val="0016479A"/>
    <w:rsid w:val="00167FD5"/>
    <w:rsid w:val="00176F63"/>
    <w:rsid w:val="0019440A"/>
    <w:rsid w:val="001C44AA"/>
    <w:rsid w:val="001D2B9C"/>
    <w:rsid w:val="001D589E"/>
    <w:rsid w:val="001E2021"/>
    <w:rsid w:val="001E668B"/>
    <w:rsid w:val="001F1D7C"/>
    <w:rsid w:val="00247CA8"/>
    <w:rsid w:val="002818B1"/>
    <w:rsid w:val="00282FB5"/>
    <w:rsid w:val="0028519A"/>
    <w:rsid w:val="002915BC"/>
    <w:rsid w:val="002B617C"/>
    <w:rsid w:val="002B74DE"/>
    <w:rsid w:val="002C6064"/>
    <w:rsid w:val="002D1926"/>
    <w:rsid w:val="002D19F7"/>
    <w:rsid w:val="002D3649"/>
    <w:rsid w:val="002F1CEC"/>
    <w:rsid w:val="002F7A61"/>
    <w:rsid w:val="003062A4"/>
    <w:rsid w:val="003133C0"/>
    <w:rsid w:val="00325FCB"/>
    <w:rsid w:val="0032700D"/>
    <w:rsid w:val="00331A1A"/>
    <w:rsid w:val="00332362"/>
    <w:rsid w:val="00333FF1"/>
    <w:rsid w:val="0034272F"/>
    <w:rsid w:val="00350A8D"/>
    <w:rsid w:val="00365F8D"/>
    <w:rsid w:val="00372766"/>
    <w:rsid w:val="003821F1"/>
    <w:rsid w:val="00384F24"/>
    <w:rsid w:val="003977D3"/>
    <w:rsid w:val="003A1929"/>
    <w:rsid w:val="003B1780"/>
    <w:rsid w:val="003E130E"/>
    <w:rsid w:val="003F2BAB"/>
    <w:rsid w:val="003F6D5A"/>
    <w:rsid w:val="003F75BE"/>
    <w:rsid w:val="003F79EE"/>
    <w:rsid w:val="00406F1F"/>
    <w:rsid w:val="00411BAB"/>
    <w:rsid w:val="00422034"/>
    <w:rsid w:val="00426525"/>
    <w:rsid w:val="004306D5"/>
    <w:rsid w:val="00446A72"/>
    <w:rsid w:val="00450154"/>
    <w:rsid w:val="004525D8"/>
    <w:rsid w:val="00457F2B"/>
    <w:rsid w:val="00464176"/>
    <w:rsid w:val="00476DBD"/>
    <w:rsid w:val="00492819"/>
    <w:rsid w:val="004942B7"/>
    <w:rsid w:val="00495CC8"/>
    <w:rsid w:val="004A07F1"/>
    <w:rsid w:val="004B0D6A"/>
    <w:rsid w:val="004C0021"/>
    <w:rsid w:val="004C732E"/>
    <w:rsid w:val="004D394B"/>
    <w:rsid w:val="004D70B7"/>
    <w:rsid w:val="004F083D"/>
    <w:rsid w:val="0050610C"/>
    <w:rsid w:val="0051440C"/>
    <w:rsid w:val="0051524F"/>
    <w:rsid w:val="0051597E"/>
    <w:rsid w:val="005331BA"/>
    <w:rsid w:val="00546E17"/>
    <w:rsid w:val="00551D5C"/>
    <w:rsid w:val="00553299"/>
    <w:rsid w:val="00567AB5"/>
    <w:rsid w:val="005862F1"/>
    <w:rsid w:val="005867F7"/>
    <w:rsid w:val="005977C3"/>
    <w:rsid w:val="005A21CC"/>
    <w:rsid w:val="005A360A"/>
    <w:rsid w:val="005C1AC1"/>
    <w:rsid w:val="005C1C11"/>
    <w:rsid w:val="005E360B"/>
    <w:rsid w:val="005F5C2B"/>
    <w:rsid w:val="006159CB"/>
    <w:rsid w:val="006220DB"/>
    <w:rsid w:val="0062644F"/>
    <w:rsid w:val="00633A2D"/>
    <w:rsid w:val="006429F3"/>
    <w:rsid w:val="00644370"/>
    <w:rsid w:val="006563A9"/>
    <w:rsid w:val="00666431"/>
    <w:rsid w:val="00666A2B"/>
    <w:rsid w:val="0067454F"/>
    <w:rsid w:val="00681CDC"/>
    <w:rsid w:val="00691F3F"/>
    <w:rsid w:val="006A3605"/>
    <w:rsid w:val="006A7E8D"/>
    <w:rsid w:val="006B4C34"/>
    <w:rsid w:val="006B6ACA"/>
    <w:rsid w:val="006C0C87"/>
    <w:rsid w:val="006C306E"/>
    <w:rsid w:val="006D7F4C"/>
    <w:rsid w:val="006E00FA"/>
    <w:rsid w:val="0071768C"/>
    <w:rsid w:val="007230BA"/>
    <w:rsid w:val="0073533B"/>
    <w:rsid w:val="007454B3"/>
    <w:rsid w:val="00752C63"/>
    <w:rsid w:val="00756D20"/>
    <w:rsid w:val="00757A15"/>
    <w:rsid w:val="00770F24"/>
    <w:rsid w:val="0078209C"/>
    <w:rsid w:val="00783CFE"/>
    <w:rsid w:val="007D6306"/>
    <w:rsid w:val="007E4720"/>
    <w:rsid w:val="007F7C39"/>
    <w:rsid w:val="00802A34"/>
    <w:rsid w:val="00802CF6"/>
    <w:rsid w:val="00815A14"/>
    <w:rsid w:val="00816DA7"/>
    <w:rsid w:val="00832D29"/>
    <w:rsid w:val="008338B4"/>
    <w:rsid w:val="00834F68"/>
    <w:rsid w:val="00837F8B"/>
    <w:rsid w:val="00854AFD"/>
    <w:rsid w:val="00855A27"/>
    <w:rsid w:val="00856ABF"/>
    <w:rsid w:val="00860E32"/>
    <w:rsid w:val="00873727"/>
    <w:rsid w:val="00882E59"/>
    <w:rsid w:val="00883D8D"/>
    <w:rsid w:val="008840EA"/>
    <w:rsid w:val="00886FDB"/>
    <w:rsid w:val="00895616"/>
    <w:rsid w:val="008D60C9"/>
    <w:rsid w:val="008E6B26"/>
    <w:rsid w:val="009066CF"/>
    <w:rsid w:val="009175D4"/>
    <w:rsid w:val="009331E9"/>
    <w:rsid w:val="00933EA7"/>
    <w:rsid w:val="00953DFC"/>
    <w:rsid w:val="00962BC8"/>
    <w:rsid w:val="00962DDA"/>
    <w:rsid w:val="009666C0"/>
    <w:rsid w:val="00970FDF"/>
    <w:rsid w:val="009722B7"/>
    <w:rsid w:val="00973967"/>
    <w:rsid w:val="0097546E"/>
    <w:rsid w:val="009A0691"/>
    <w:rsid w:val="009A07BA"/>
    <w:rsid w:val="009C015D"/>
    <w:rsid w:val="009D01FF"/>
    <w:rsid w:val="009E52BA"/>
    <w:rsid w:val="009F2FDF"/>
    <w:rsid w:val="00A011B9"/>
    <w:rsid w:val="00A03B2E"/>
    <w:rsid w:val="00A16E58"/>
    <w:rsid w:val="00A2524F"/>
    <w:rsid w:val="00A25FFB"/>
    <w:rsid w:val="00A41CBF"/>
    <w:rsid w:val="00A43ECB"/>
    <w:rsid w:val="00A52D13"/>
    <w:rsid w:val="00A607A3"/>
    <w:rsid w:val="00A62472"/>
    <w:rsid w:val="00A63DD6"/>
    <w:rsid w:val="00A7129C"/>
    <w:rsid w:val="00A718BC"/>
    <w:rsid w:val="00A85D36"/>
    <w:rsid w:val="00AA5E09"/>
    <w:rsid w:val="00AB2197"/>
    <w:rsid w:val="00AC3A8B"/>
    <w:rsid w:val="00AD387C"/>
    <w:rsid w:val="00AD4CFC"/>
    <w:rsid w:val="00B06200"/>
    <w:rsid w:val="00B065A3"/>
    <w:rsid w:val="00B12CC6"/>
    <w:rsid w:val="00B1352C"/>
    <w:rsid w:val="00B245CA"/>
    <w:rsid w:val="00B27D2A"/>
    <w:rsid w:val="00B414D4"/>
    <w:rsid w:val="00B578BB"/>
    <w:rsid w:val="00B64986"/>
    <w:rsid w:val="00B661A9"/>
    <w:rsid w:val="00B66369"/>
    <w:rsid w:val="00B74673"/>
    <w:rsid w:val="00B93C6B"/>
    <w:rsid w:val="00B97DD0"/>
    <w:rsid w:val="00BA2267"/>
    <w:rsid w:val="00BC5922"/>
    <w:rsid w:val="00BE3C92"/>
    <w:rsid w:val="00BE50FF"/>
    <w:rsid w:val="00C02144"/>
    <w:rsid w:val="00C1106D"/>
    <w:rsid w:val="00C117A5"/>
    <w:rsid w:val="00C31BBD"/>
    <w:rsid w:val="00C5253F"/>
    <w:rsid w:val="00C53F51"/>
    <w:rsid w:val="00C64D45"/>
    <w:rsid w:val="00CB0566"/>
    <w:rsid w:val="00CB0EA2"/>
    <w:rsid w:val="00CD4F86"/>
    <w:rsid w:val="00CD6355"/>
    <w:rsid w:val="00CE439D"/>
    <w:rsid w:val="00CF0CF7"/>
    <w:rsid w:val="00CF4AA5"/>
    <w:rsid w:val="00D16539"/>
    <w:rsid w:val="00D33C84"/>
    <w:rsid w:val="00D37ED3"/>
    <w:rsid w:val="00D40A5C"/>
    <w:rsid w:val="00D61421"/>
    <w:rsid w:val="00D92B0D"/>
    <w:rsid w:val="00DA4426"/>
    <w:rsid w:val="00DB3059"/>
    <w:rsid w:val="00DB3309"/>
    <w:rsid w:val="00DB7357"/>
    <w:rsid w:val="00DC1FF0"/>
    <w:rsid w:val="00DF36C0"/>
    <w:rsid w:val="00E01D14"/>
    <w:rsid w:val="00E14D0C"/>
    <w:rsid w:val="00E1676A"/>
    <w:rsid w:val="00E324AE"/>
    <w:rsid w:val="00E32F4D"/>
    <w:rsid w:val="00E41CFB"/>
    <w:rsid w:val="00E73903"/>
    <w:rsid w:val="00E81076"/>
    <w:rsid w:val="00E83F5B"/>
    <w:rsid w:val="00E87CB8"/>
    <w:rsid w:val="00E940DE"/>
    <w:rsid w:val="00EA37D7"/>
    <w:rsid w:val="00EA6A9F"/>
    <w:rsid w:val="00EC645C"/>
    <w:rsid w:val="00ED0439"/>
    <w:rsid w:val="00EE1B16"/>
    <w:rsid w:val="00EF6089"/>
    <w:rsid w:val="00F11C4A"/>
    <w:rsid w:val="00F82A11"/>
    <w:rsid w:val="00F83A4D"/>
    <w:rsid w:val="00F940D8"/>
    <w:rsid w:val="00F95945"/>
    <w:rsid w:val="00FA4269"/>
    <w:rsid w:val="00FB203E"/>
    <w:rsid w:val="00FB7C1E"/>
    <w:rsid w:val="00FD2F6C"/>
    <w:rsid w:val="00FD4BEE"/>
    <w:rsid w:val="00FD77BF"/>
    <w:rsid w:val="00FE411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CB0EA2"/>
    <w:rPr>
      <w:color w:val="800080" w:themeColor="followedHyperlink"/>
      <w:u w:val="single"/>
    </w:rPr>
  </w:style>
  <w:style w:type="paragraph" w:styleId="EndnoteText">
    <w:name w:val="endnote text"/>
    <w:basedOn w:val="Normal"/>
    <w:link w:val="EndnoteTextChar"/>
    <w:uiPriority w:val="99"/>
    <w:semiHidden/>
    <w:unhideWhenUsed/>
    <w:rsid w:val="00C11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7A5"/>
    <w:rPr>
      <w:rFonts w:ascii="Arial" w:hAnsi="Arial"/>
      <w:sz w:val="20"/>
      <w:szCs w:val="20"/>
    </w:rPr>
  </w:style>
  <w:style w:type="character" w:styleId="EndnoteReference">
    <w:name w:val="endnote reference"/>
    <w:basedOn w:val="DefaultParagraphFont"/>
    <w:uiPriority w:val="99"/>
    <w:semiHidden/>
    <w:unhideWhenUsed/>
    <w:rsid w:val="00C117A5"/>
    <w:rPr>
      <w:vertAlign w:val="superscript"/>
    </w:rPr>
  </w:style>
  <w:style w:type="paragraph" w:styleId="FootnoteText">
    <w:name w:val="footnote text"/>
    <w:basedOn w:val="Normal"/>
    <w:link w:val="FootnoteTextChar"/>
    <w:uiPriority w:val="99"/>
    <w:semiHidden/>
    <w:unhideWhenUsed/>
    <w:rsid w:val="00C11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7A5"/>
    <w:rPr>
      <w:rFonts w:ascii="Arial" w:hAnsi="Arial"/>
      <w:sz w:val="20"/>
      <w:szCs w:val="20"/>
    </w:rPr>
  </w:style>
  <w:style w:type="character" w:styleId="FootnoteReference">
    <w:name w:val="footnote reference"/>
    <w:basedOn w:val="DefaultParagraphFont"/>
    <w:uiPriority w:val="99"/>
    <w:semiHidden/>
    <w:unhideWhenUsed/>
    <w:rsid w:val="00C117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CB0EA2"/>
    <w:rPr>
      <w:color w:val="800080" w:themeColor="followedHyperlink"/>
      <w:u w:val="single"/>
    </w:rPr>
  </w:style>
  <w:style w:type="paragraph" w:styleId="EndnoteText">
    <w:name w:val="endnote text"/>
    <w:basedOn w:val="Normal"/>
    <w:link w:val="EndnoteTextChar"/>
    <w:uiPriority w:val="99"/>
    <w:semiHidden/>
    <w:unhideWhenUsed/>
    <w:rsid w:val="00C11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7A5"/>
    <w:rPr>
      <w:rFonts w:ascii="Arial" w:hAnsi="Arial"/>
      <w:sz w:val="20"/>
      <w:szCs w:val="20"/>
    </w:rPr>
  </w:style>
  <w:style w:type="character" w:styleId="EndnoteReference">
    <w:name w:val="endnote reference"/>
    <w:basedOn w:val="DefaultParagraphFont"/>
    <w:uiPriority w:val="99"/>
    <w:semiHidden/>
    <w:unhideWhenUsed/>
    <w:rsid w:val="00C117A5"/>
    <w:rPr>
      <w:vertAlign w:val="superscript"/>
    </w:rPr>
  </w:style>
  <w:style w:type="paragraph" w:styleId="FootnoteText">
    <w:name w:val="footnote text"/>
    <w:basedOn w:val="Normal"/>
    <w:link w:val="FootnoteTextChar"/>
    <w:uiPriority w:val="99"/>
    <w:semiHidden/>
    <w:unhideWhenUsed/>
    <w:rsid w:val="00C11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7A5"/>
    <w:rPr>
      <w:rFonts w:ascii="Arial" w:hAnsi="Arial"/>
      <w:sz w:val="20"/>
      <w:szCs w:val="20"/>
    </w:rPr>
  </w:style>
  <w:style w:type="character" w:styleId="FootnoteReference">
    <w:name w:val="footnote reference"/>
    <w:basedOn w:val="DefaultParagraphFont"/>
    <w:uiPriority w:val="99"/>
    <w:semiHidden/>
    <w:unhideWhenUsed/>
    <w:rsid w:val="00C11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65128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Creview@grey.ca"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ustomXml" Target="../customXml/item5.xml"/><Relationship Id="rId10" Type="http://schemas.openxmlformats.org/officeDocument/2006/relationships/hyperlink" Target="https://www.grey.ca/long-term-care/redeveloping-long-term-ca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Length of Stay in a</a:t>
            </a:r>
            <a:r>
              <a:rPr lang="en-US" sz="1200" baseline="0"/>
              <a:t> Grey County LTC Home </a:t>
            </a:r>
            <a:r>
              <a:rPr lang="en-US" sz="1100" baseline="0"/>
              <a:t>(average # of years)</a:t>
            </a:r>
            <a:endParaRPr lang="en-US" sz="1100"/>
          </a:p>
        </c:rich>
      </c:tx>
      <c:overlay val="0"/>
    </c:title>
    <c:autoTitleDeleted val="0"/>
    <c:plotArea>
      <c:layout/>
      <c:barChart>
        <c:barDir val="col"/>
        <c:grouping val="clustered"/>
        <c:varyColors val="0"/>
        <c:ser>
          <c:idx val="0"/>
          <c:order val="0"/>
          <c:tx>
            <c:strRef>
              <c:f>Sheet1!$B$1</c:f>
              <c:strCache>
                <c:ptCount val="1"/>
                <c:pt idx="0">
                  <c:v>Average Length of Stay</c:v>
                </c:pt>
              </c:strCache>
            </c:strRef>
          </c:tx>
          <c:invertIfNegative val="0"/>
          <c:dPt>
            <c:idx val="0"/>
            <c:invertIfNegative val="0"/>
            <c:bubble3D val="0"/>
            <c:spPr>
              <a:solidFill>
                <a:srgbClr val="98005D"/>
              </a:solidFill>
            </c:spPr>
          </c:dPt>
          <c:dPt>
            <c:idx val="1"/>
            <c:invertIfNegative val="0"/>
            <c:bubble3D val="0"/>
            <c:spPr>
              <a:solidFill>
                <a:srgbClr val="98005D"/>
              </a:solidFill>
            </c:spPr>
          </c:dPt>
          <c:dPt>
            <c:idx val="2"/>
            <c:invertIfNegative val="0"/>
            <c:bubble3D val="0"/>
            <c:spPr>
              <a:solidFill>
                <a:srgbClr val="98005D"/>
              </a:solidFill>
            </c:spPr>
          </c:dPt>
          <c:dPt>
            <c:idx val="3"/>
            <c:invertIfNegative val="0"/>
            <c:bubble3D val="0"/>
            <c:spPr>
              <a:solidFill>
                <a:srgbClr val="98005D"/>
              </a:solidFill>
            </c:spPr>
          </c:dPt>
          <c:dLbls>
            <c:txPr>
              <a:bodyPr/>
              <a:lstStyle/>
              <a:p>
                <a:pPr>
                  <a:defRPr sz="1100" b="1">
                    <a:solidFill>
                      <a:schemeClr val="bg1"/>
                    </a:solidFill>
                  </a:defRPr>
                </a:pPr>
                <a:endParaRPr lang="en-US"/>
              </a:p>
            </c:txPr>
            <c:dLblPos val="ctr"/>
            <c:showLegendKey val="0"/>
            <c:showVal val="1"/>
            <c:showCatName val="0"/>
            <c:showSerName val="0"/>
            <c:showPercent val="0"/>
            <c:showBubbleSize val="0"/>
            <c:showLeaderLines val="0"/>
          </c:dLbls>
          <c:trendline>
            <c:trendlineType val="linear"/>
            <c:dispRSqr val="0"/>
            <c:dispEq val="0"/>
          </c:trendline>
          <c:cat>
            <c:numRef>
              <c:f>Sheet1!$A$2:$A$5</c:f>
              <c:numCache>
                <c:formatCode>General</c:formatCode>
                <c:ptCount val="4"/>
                <c:pt idx="0">
                  <c:v>2010</c:v>
                </c:pt>
                <c:pt idx="1">
                  <c:v>2012</c:v>
                </c:pt>
                <c:pt idx="2">
                  <c:v>2014</c:v>
                </c:pt>
                <c:pt idx="3">
                  <c:v>2016</c:v>
                </c:pt>
              </c:numCache>
            </c:numRef>
          </c:cat>
          <c:val>
            <c:numRef>
              <c:f>Sheet1!$B$2:$B$5</c:f>
              <c:numCache>
                <c:formatCode>General</c:formatCode>
                <c:ptCount val="4"/>
                <c:pt idx="0">
                  <c:v>3.66</c:v>
                </c:pt>
                <c:pt idx="1">
                  <c:v>3.54</c:v>
                </c:pt>
                <c:pt idx="2">
                  <c:v>2.8</c:v>
                </c:pt>
                <c:pt idx="3">
                  <c:v>2.59</c:v>
                </c:pt>
              </c:numCache>
            </c:numRef>
          </c:val>
        </c:ser>
        <c:dLbls>
          <c:showLegendKey val="0"/>
          <c:showVal val="0"/>
          <c:showCatName val="0"/>
          <c:showSerName val="0"/>
          <c:showPercent val="0"/>
          <c:showBubbleSize val="0"/>
        </c:dLbls>
        <c:gapWidth val="150"/>
        <c:axId val="171883520"/>
        <c:axId val="175485696"/>
      </c:barChart>
      <c:catAx>
        <c:axId val="171883520"/>
        <c:scaling>
          <c:orientation val="minMax"/>
        </c:scaling>
        <c:delete val="0"/>
        <c:axPos val="b"/>
        <c:numFmt formatCode="General" sourceLinked="1"/>
        <c:majorTickMark val="out"/>
        <c:minorTickMark val="none"/>
        <c:tickLblPos val="nextTo"/>
        <c:crossAx val="175485696"/>
        <c:crosses val="autoZero"/>
        <c:auto val="1"/>
        <c:lblAlgn val="ctr"/>
        <c:lblOffset val="100"/>
        <c:noMultiLvlLbl val="0"/>
      </c:catAx>
      <c:valAx>
        <c:axId val="175485696"/>
        <c:scaling>
          <c:orientation val="minMax"/>
        </c:scaling>
        <c:delete val="1"/>
        <c:axPos val="l"/>
        <c:majorGridlines/>
        <c:numFmt formatCode="General" sourceLinked="1"/>
        <c:majorTickMark val="out"/>
        <c:minorTickMark val="none"/>
        <c:tickLblPos val="nextTo"/>
        <c:crossAx val="171883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200"/>
              <a:t>Would you recomend</a:t>
            </a:r>
            <a:r>
              <a:rPr lang="en-CA" sz="1200" baseline="0"/>
              <a:t> this home to others?</a:t>
            </a:r>
            <a:endParaRPr lang="en-CA" sz="1200"/>
          </a:p>
        </c:rich>
      </c:tx>
      <c:overlay val="0"/>
    </c:title>
    <c:autoTitleDeleted val="0"/>
    <c:plotArea>
      <c:layout/>
      <c:barChart>
        <c:barDir val="col"/>
        <c:grouping val="clustered"/>
        <c:varyColors val="0"/>
        <c:ser>
          <c:idx val="0"/>
          <c:order val="0"/>
          <c:tx>
            <c:strRef>
              <c:f>Sheet1!$B$1</c:f>
              <c:strCache>
                <c:ptCount val="1"/>
                <c:pt idx="0">
                  <c:v>2013</c:v>
                </c:pt>
              </c:strCache>
            </c:strRef>
          </c:tx>
          <c:invertIfNegative val="0"/>
          <c:cat>
            <c:strRef>
              <c:f>Sheet1!$A$2:$A$4</c:f>
              <c:strCache>
                <c:ptCount val="3"/>
                <c:pt idx="0">
                  <c:v>Grey Gables</c:v>
                </c:pt>
                <c:pt idx="1">
                  <c:v>Lee Manor</c:v>
                </c:pt>
                <c:pt idx="2">
                  <c:v>Rockwood Terrace</c:v>
                </c:pt>
              </c:strCache>
            </c:strRef>
          </c:cat>
          <c:val>
            <c:numRef>
              <c:f>Sheet1!$B$2:$B$4</c:f>
              <c:numCache>
                <c:formatCode>General</c:formatCode>
                <c:ptCount val="3"/>
                <c:pt idx="0">
                  <c:v>67.44</c:v>
                </c:pt>
                <c:pt idx="1">
                  <c:v>68.97</c:v>
                </c:pt>
                <c:pt idx="2">
                  <c:v>76.92</c:v>
                </c:pt>
              </c:numCache>
            </c:numRef>
          </c:val>
        </c:ser>
        <c:ser>
          <c:idx val="1"/>
          <c:order val="1"/>
          <c:tx>
            <c:strRef>
              <c:f>Sheet1!$C$1</c:f>
              <c:strCache>
                <c:ptCount val="1"/>
                <c:pt idx="0">
                  <c:v>2014</c:v>
                </c:pt>
              </c:strCache>
            </c:strRef>
          </c:tx>
          <c:invertIfNegative val="0"/>
          <c:cat>
            <c:strRef>
              <c:f>Sheet1!$A$2:$A$4</c:f>
              <c:strCache>
                <c:ptCount val="3"/>
                <c:pt idx="0">
                  <c:v>Grey Gables</c:v>
                </c:pt>
                <c:pt idx="1">
                  <c:v>Lee Manor</c:v>
                </c:pt>
                <c:pt idx="2">
                  <c:v>Rockwood Terrace</c:v>
                </c:pt>
              </c:strCache>
            </c:strRef>
          </c:cat>
          <c:val>
            <c:numRef>
              <c:f>Sheet1!$C$2:$C$4</c:f>
              <c:numCache>
                <c:formatCode>General</c:formatCode>
                <c:ptCount val="3"/>
                <c:pt idx="0">
                  <c:v>90.7</c:v>
                </c:pt>
                <c:pt idx="1">
                  <c:v>94.83</c:v>
                </c:pt>
                <c:pt idx="2">
                  <c:v>76.92</c:v>
                </c:pt>
              </c:numCache>
            </c:numRef>
          </c:val>
        </c:ser>
        <c:ser>
          <c:idx val="2"/>
          <c:order val="2"/>
          <c:tx>
            <c:strRef>
              <c:f>Sheet1!$D$1</c:f>
              <c:strCache>
                <c:ptCount val="1"/>
                <c:pt idx="0">
                  <c:v>2015</c:v>
                </c:pt>
              </c:strCache>
            </c:strRef>
          </c:tx>
          <c:invertIfNegative val="0"/>
          <c:cat>
            <c:strRef>
              <c:f>Sheet1!$A$2:$A$4</c:f>
              <c:strCache>
                <c:ptCount val="3"/>
                <c:pt idx="0">
                  <c:v>Grey Gables</c:v>
                </c:pt>
                <c:pt idx="1">
                  <c:v>Lee Manor</c:v>
                </c:pt>
                <c:pt idx="2">
                  <c:v>Rockwood Terrace</c:v>
                </c:pt>
              </c:strCache>
            </c:strRef>
          </c:cat>
          <c:val>
            <c:numRef>
              <c:f>Sheet1!$D$2:$D$4</c:f>
              <c:numCache>
                <c:formatCode>General</c:formatCode>
                <c:ptCount val="3"/>
                <c:pt idx="0">
                  <c:v>93</c:v>
                </c:pt>
                <c:pt idx="1">
                  <c:v>97</c:v>
                </c:pt>
                <c:pt idx="2">
                  <c:v>92</c:v>
                </c:pt>
              </c:numCache>
            </c:numRef>
          </c:val>
        </c:ser>
        <c:ser>
          <c:idx val="3"/>
          <c:order val="3"/>
          <c:tx>
            <c:strRef>
              <c:f>Sheet1!$E$1</c:f>
              <c:strCache>
                <c:ptCount val="1"/>
                <c:pt idx="0">
                  <c:v>2016</c:v>
                </c:pt>
              </c:strCache>
            </c:strRef>
          </c:tx>
          <c:invertIfNegative val="0"/>
          <c:cat>
            <c:strRef>
              <c:f>Sheet1!$A$2:$A$4</c:f>
              <c:strCache>
                <c:ptCount val="3"/>
                <c:pt idx="0">
                  <c:v>Grey Gables</c:v>
                </c:pt>
                <c:pt idx="1">
                  <c:v>Lee Manor</c:v>
                </c:pt>
                <c:pt idx="2">
                  <c:v>Rockwood Terrace</c:v>
                </c:pt>
              </c:strCache>
            </c:strRef>
          </c:cat>
          <c:val>
            <c:numRef>
              <c:f>Sheet1!$E$2:$E$4</c:f>
              <c:numCache>
                <c:formatCode>General</c:formatCode>
                <c:ptCount val="3"/>
                <c:pt idx="0">
                  <c:v>87</c:v>
                </c:pt>
                <c:pt idx="1">
                  <c:v>95</c:v>
                </c:pt>
                <c:pt idx="2">
                  <c:v>94</c:v>
                </c:pt>
              </c:numCache>
            </c:numRef>
          </c:val>
        </c:ser>
        <c:dLbls>
          <c:showLegendKey val="0"/>
          <c:showVal val="0"/>
          <c:showCatName val="0"/>
          <c:showSerName val="0"/>
          <c:showPercent val="0"/>
          <c:showBubbleSize val="0"/>
        </c:dLbls>
        <c:gapWidth val="150"/>
        <c:axId val="176568960"/>
        <c:axId val="176570752"/>
      </c:barChart>
      <c:catAx>
        <c:axId val="176568960"/>
        <c:scaling>
          <c:orientation val="minMax"/>
        </c:scaling>
        <c:delete val="0"/>
        <c:axPos val="b"/>
        <c:majorTickMark val="out"/>
        <c:minorTickMark val="none"/>
        <c:tickLblPos val="nextTo"/>
        <c:crossAx val="176570752"/>
        <c:crosses val="autoZero"/>
        <c:auto val="1"/>
        <c:lblAlgn val="ctr"/>
        <c:lblOffset val="100"/>
        <c:noMultiLvlLbl val="0"/>
      </c:catAx>
      <c:valAx>
        <c:axId val="176570752"/>
        <c:scaling>
          <c:orientation val="minMax"/>
        </c:scaling>
        <c:delete val="0"/>
        <c:axPos val="l"/>
        <c:majorGridlines/>
        <c:numFmt formatCode="General" sourceLinked="1"/>
        <c:majorTickMark val="out"/>
        <c:minorTickMark val="none"/>
        <c:tickLblPos val="nextTo"/>
        <c:crossAx val="176568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Long Term Care - Total Operating Requirements</a:t>
            </a:r>
          </a:p>
        </c:rich>
      </c:tx>
      <c:overlay val="0"/>
    </c:title>
    <c:autoTitleDeleted val="0"/>
    <c:plotArea>
      <c:layout/>
      <c:barChart>
        <c:barDir val="col"/>
        <c:grouping val="clustered"/>
        <c:varyColors val="0"/>
        <c:ser>
          <c:idx val="0"/>
          <c:order val="0"/>
          <c:tx>
            <c:strRef>
              <c:f>Sheet1!$B$1</c:f>
              <c:strCache>
                <c:ptCount val="1"/>
                <c:pt idx="0">
                  <c:v>Revenue</c:v>
                </c:pt>
              </c:strCache>
            </c:strRef>
          </c:tx>
          <c:spPr>
            <a:solidFill>
              <a:srgbClr val="98005D"/>
            </a:solidFill>
          </c:spPr>
          <c:invertIfNegative val="0"/>
          <c:dLbls>
            <c:dLbl>
              <c:idx val="0"/>
              <c:tx>
                <c:rich>
                  <a:bodyPr/>
                  <a:lstStyle/>
                  <a:p>
                    <a:r>
                      <a:rPr lang="en-US"/>
                      <a:t>$18,852,697</a:t>
                    </a:r>
                  </a:p>
                </c:rich>
              </c:tx>
              <c:showLegendKey val="0"/>
              <c:showVal val="1"/>
              <c:showCatName val="0"/>
              <c:showSerName val="0"/>
              <c:showPercent val="0"/>
              <c:showBubbleSize val="0"/>
            </c:dLbl>
            <c:dLbl>
              <c:idx val="1"/>
              <c:tx>
                <c:rich>
                  <a:bodyPr/>
                  <a:lstStyle/>
                  <a:p>
                    <a:r>
                      <a:rPr lang="en-US"/>
                      <a:t>$27,093,024</a:t>
                    </a:r>
                  </a:p>
                </c:rich>
              </c:tx>
              <c:showLegendKey val="0"/>
              <c:showVal val="1"/>
              <c:showCatName val="0"/>
              <c:showSerName val="0"/>
              <c:showPercent val="0"/>
              <c:showBubbleSize val="0"/>
            </c:dLbl>
            <c:dLbl>
              <c:idx val="2"/>
              <c:tx>
                <c:rich>
                  <a:bodyPr/>
                  <a:lstStyle/>
                  <a:p>
                    <a:r>
                      <a:rPr lang="en-US"/>
                      <a:t>$38,954,531</a:t>
                    </a:r>
                  </a:p>
                </c:rich>
              </c:tx>
              <c:showLegendKey val="0"/>
              <c:showVal val="1"/>
              <c:showCatName val="0"/>
              <c:showSerName val="0"/>
              <c:showPercent val="0"/>
              <c:showBubbleSize val="0"/>
            </c:dLbl>
            <c:showLegendKey val="0"/>
            <c:showVal val="1"/>
            <c:showCatName val="0"/>
            <c:showSerName val="0"/>
            <c:showPercent val="0"/>
            <c:showBubbleSize val="0"/>
            <c:showLeaderLines val="0"/>
          </c:dLbls>
          <c:trendline>
            <c:trendlineType val="exp"/>
            <c:dispRSqr val="0"/>
            <c:dispEq val="0"/>
          </c:trendline>
          <c:cat>
            <c:strRef>
              <c:f>Sheet1!$A$2:$A$4</c:f>
              <c:strCache>
                <c:ptCount val="3"/>
                <c:pt idx="0">
                  <c:v>2007</c:v>
                </c:pt>
                <c:pt idx="1">
                  <c:v>2017</c:v>
                </c:pt>
                <c:pt idx="2">
                  <c:v>2027 (Projected)</c:v>
                </c:pt>
              </c:strCache>
            </c:strRef>
          </c:cat>
          <c:val>
            <c:numRef>
              <c:f>Sheet1!$B$2:$B$4</c:f>
              <c:numCache>
                <c:formatCode>"$"#,##0.00</c:formatCode>
                <c:ptCount val="3"/>
                <c:pt idx="0">
                  <c:v>18852697</c:v>
                </c:pt>
                <c:pt idx="1">
                  <c:v>27093024</c:v>
                </c:pt>
                <c:pt idx="2">
                  <c:v>38954531</c:v>
                </c:pt>
              </c:numCache>
            </c:numRef>
          </c:val>
        </c:ser>
        <c:dLbls>
          <c:showLegendKey val="0"/>
          <c:showVal val="0"/>
          <c:showCatName val="0"/>
          <c:showSerName val="0"/>
          <c:showPercent val="0"/>
          <c:showBubbleSize val="0"/>
        </c:dLbls>
        <c:gapWidth val="150"/>
        <c:axId val="176592384"/>
        <c:axId val="176593920"/>
      </c:barChart>
      <c:catAx>
        <c:axId val="176592384"/>
        <c:scaling>
          <c:orientation val="minMax"/>
        </c:scaling>
        <c:delete val="0"/>
        <c:axPos val="b"/>
        <c:majorTickMark val="out"/>
        <c:minorTickMark val="none"/>
        <c:tickLblPos val="nextTo"/>
        <c:crossAx val="176593920"/>
        <c:crosses val="autoZero"/>
        <c:auto val="1"/>
        <c:lblAlgn val="ctr"/>
        <c:lblOffset val="100"/>
        <c:noMultiLvlLbl val="0"/>
      </c:catAx>
      <c:valAx>
        <c:axId val="176593920"/>
        <c:scaling>
          <c:orientation val="minMax"/>
        </c:scaling>
        <c:delete val="0"/>
        <c:axPos val="l"/>
        <c:majorGridlines/>
        <c:numFmt formatCode="&quot;$&quot;#,##0.00" sourceLinked="1"/>
        <c:majorTickMark val="out"/>
        <c:minorTickMark val="none"/>
        <c:tickLblPos val="nextTo"/>
        <c:crossAx val="176592384"/>
        <c:crosses val="autoZero"/>
        <c:crossBetween val="between"/>
      </c:valAx>
    </c:plotArea>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Levy Contribution Per Bed*</a:t>
            </a:r>
          </a:p>
        </c:rich>
      </c:tx>
      <c:overlay val="0"/>
    </c:title>
    <c:autoTitleDeleted val="0"/>
    <c:plotArea>
      <c:layout>
        <c:manualLayout>
          <c:layoutTarget val="inner"/>
          <c:xMode val="edge"/>
          <c:yMode val="edge"/>
          <c:x val="0.14897200349956252"/>
          <c:y val="0.16697444069491313"/>
          <c:w val="0.83250947798191888"/>
          <c:h val="0.73361423572053497"/>
        </c:manualLayout>
      </c:layout>
      <c:barChart>
        <c:barDir val="col"/>
        <c:grouping val="clustered"/>
        <c:varyColors val="0"/>
        <c:ser>
          <c:idx val="0"/>
          <c:order val="0"/>
          <c:tx>
            <c:strRef>
              <c:f>Sheet1!$B$1</c:f>
              <c:strCache>
                <c:ptCount val="1"/>
                <c:pt idx="0">
                  <c:v>Revenue</c:v>
                </c:pt>
              </c:strCache>
            </c:strRef>
          </c:tx>
          <c:spPr>
            <a:solidFill>
              <a:srgbClr val="98005D"/>
            </a:solidFill>
          </c:spPr>
          <c:invertIfNegative val="0"/>
          <c:dLbls>
            <c:dLbl>
              <c:idx val="0"/>
              <c:tx>
                <c:rich>
                  <a:bodyPr/>
                  <a:lstStyle/>
                  <a:p>
                    <a:r>
                      <a:rPr lang="en-US"/>
                      <a:t>$11,870</a:t>
                    </a:r>
                  </a:p>
                </c:rich>
              </c:tx>
              <c:showLegendKey val="0"/>
              <c:showVal val="1"/>
              <c:showCatName val="0"/>
              <c:showSerName val="0"/>
              <c:showPercent val="0"/>
              <c:showBubbleSize val="0"/>
            </c:dLbl>
            <c:dLbl>
              <c:idx val="1"/>
              <c:tx>
                <c:rich>
                  <a:bodyPr/>
                  <a:lstStyle/>
                  <a:p>
                    <a:r>
                      <a:rPr lang="en-US"/>
                      <a:t>$19,461</a:t>
                    </a:r>
                  </a:p>
                </c:rich>
              </c:tx>
              <c:showLegendKey val="0"/>
              <c:showVal val="1"/>
              <c:showCatName val="0"/>
              <c:showSerName val="0"/>
              <c:showPercent val="0"/>
              <c:showBubbleSize val="0"/>
            </c:dLbl>
            <c:dLbl>
              <c:idx val="2"/>
              <c:tx>
                <c:rich>
                  <a:bodyPr/>
                  <a:lstStyle/>
                  <a:p>
                    <a:r>
                      <a:rPr lang="en-US"/>
                      <a:t>$31,904</a:t>
                    </a:r>
                  </a:p>
                </c:rich>
              </c:tx>
              <c:showLegendKey val="0"/>
              <c:showVal val="1"/>
              <c:showCatName val="0"/>
              <c:showSerName val="0"/>
              <c:showPercent val="0"/>
              <c:showBubbleSize val="0"/>
            </c:dLbl>
            <c:showLegendKey val="0"/>
            <c:showVal val="1"/>
            <c:showCatName val="0"/>
            <c:showSerName val="0"/>
            <c:showPercent val="0"/>
            <c:showBubbleSize val="0"/>
            <c:showLeaderLines val="0"/>
          </c:dLbls>
          <c:trendline>
            <c:trendlineType val="exp"/>
            <c:dispRSqr val="0"/>
            <c:dispEq val="0"/>
          </c:trendline>
          <c:cat>
            <c:strRef>
              <c:f>Sheet1!$A$2:$A$4</c:f>
              <c:strCache>
                <c:ptCount val="3"/>
                <c:pt idx="0">
                  <c:v>2007</c:v>
                </c:pt>
                <c:pt idx="1">
                  <c:v>2017</c:v>
                </c:pt>
                <c:pt idx="2">
                  <c:v>2027 (Projected)</c:v>
                </c:pt>
              </c:strCache>
            </c:strRef>
          </c:cat>
          <c:val>
            <c:numRef>
              <c:f>Sheet1!$B$2:$B$4</c:f>
              <c:numCache>
                <c:formatCode>"$"#,##0.00</c:formatCode>
                <c:ptCount val="3"/>
                <c:pt idx="0">
                  <c:v>11870.79</c:v>
                </c:pt>
                <c:pt idx="1">
                  <c:v>19461.13</c:v>
                </c:pt>
                <c:pt idx="2">
                  <c:v>31904.58</c:v>
                </c:pt>
              </c:numCache>
            </c:numRef>
          </c:val>
        </c:ser>
        <c:dLbls>
          <c:showLegendKey val="0"/>
          <c:showVal val="0"/>
          <c:showCatName val="0"/>
          <c:showSerName val="0"/>
          <c:showPercent val="0"/>
          <c:showBubbleSize val="0"/>
        </c:dLbls>
        <c:gapWidth val="150"/>
        <c:axId val="178061312"/>
        <c:axId val="178062848"/>
      </c:barChart>
      <c:catAx>
        <c:axId val="178061312"/>
        <c:scaling>
          <c:orientation val="minMax"/>
        </c:scaling>
        <c:delete val="0"/>
        <c:axPos val="b"/>
        <c:majorTickMark val="out"/>
        <c:minorTickMark val="none"/>
        <c:tickLblPos val="nextTo"/>
        <c:crossAx val="178062848"/>
        <c:crosses val="autoZero"/>
        <c:auto val="1"/>
        <c:lblAlgn val="ctr"/>
        <c:lblOffset val="100"/>
        <c:noMultiLvlLbl val="0"/>
      </c:catAx>
      <c:valAx>
        <c:axId val="178062848"/>
        <c:scaling>
          <c:orientation val="minMax"/>
        </c:scaling>
        <c:delete val="0"/>
        <c:axPos val="l"/>
        <c:majorGridlines/>
        <c:numFmt formatCode="&quot;$&quot;#,##0.00" sourceLinked="1"/>
        <c:majorTickMark val="out"/>
        <c:minorTickMark val="none"/>
        <c:tickLblPos val="nextTo"/>
        <c:crossAx val="178061312"/>
        <c:crosses val="autoZero"/>
        <c:crossBetween val="between"/>
      </c:valAx>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GC_106170070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1xC1vgbrRnCAFHKdRRhHQw</sharedId>
    <committee xmlns="e6cd7bd4-3f3e-4495-b8c9-139289cd76e6">Committee of the Whole</committee>
    <meetingId xmlns="e6cd7bd4-3f3e-4495-b8c9-139289cd76e6">[2017-05-11 Committee of the Whole [5031]]</meetingId>
    <capitalProjectPriority xmlns="e6cd7bd4-3f3e-4495-b8c9-139289cd76e6" xsi:nil="true"/>
    <policyApprovalDate xmlns="e6cd7bd4-3f3e-4495-b8c9-139289cd76e6" xsi:nil="true"/>
    <NodeRef xmlns="e6cd7bd4-3f3e-4495-b8c9-139289cd76e6">f153e6a7-2cb0-4aeb-8965-56337a059895</NodeRef>
    <addressees xmlns="e6cd7bd4-3f3e-4495-b8c9-139289cd76e6" xsi:nil="true"/>
    <identifier xmlns="e6cd7bd4-3f3e-4495-b8c9-139289cd76e6">2017-1499265928972</identifier>
    <reviewAsOf xmlns="e6cd7bd4-3f3e-4495-b8c9-139289cd76e6">2027-07-05T14:45:36+00:00</reviewAsOf>
    <bylawNumber xmlns="e6cd7bd4-3f3e-4495-b8c9-139289cd76e6" xsi:nil="true"/>
    <addressee xmlns="e6cd7bd4-3f3e-4495-b8c9-139289cd76e6" xsi:nil="true"/>
    <recordOriginatingLocation xmlns="e6cd7bd4-3f3e-4495-b8c9-139289cd76e6">workspace://SpacesStore/29d25b23-d448-4146-bcea-5069d032f2da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1F1B3EA-7250-4361-B5B4-48794359D199}">
  <ds:schemaRefs>
    <ds:schemaRef ds:uri="http://schemas.openxmlformats.org/officeDocument/2006/bibliography"/>
  </ds:schemaRefs>
</ds:datastoreItem>
</file>

<file path=customXml/itemProps2.xml><?xml version="1.0" encoding="utf-8"?>
<ds:datastoreItem xmlns:ds="http://schemas.openxmlformats.org/officeDocument/2006/customXml" ds:itemID="{DEA7B8FC-1B4E-4245-BD48-A74FB7399971}"/>
</file>

<file path=customXml/itemProps3.xml><?xml version="1.0" encoding="utf-8"?>
<ds:datastoreItem xmlns:ds="http://schemas.openxmlformats.org/officeDocument/2006/customXml" ds:itemID="{934F6C8D-CB43-4497-B2CD-A0D2E828CDA5}"/>
</file>

<file path=customXml/itemProps4.xml><?xml version="1.0" encoding="utf-8"?>
<ds:datastoreItem xmlns:ds="http://schemas.openxmlformats.org/officeDocument/2006/customXml" ds:itemID="{E2A11BAE-34B4-4A25-92A7-023E81BFD3D8}"/>
</file>

<file path=customXml/itemProps5.xml><?xml version="1.0" encoding="utf-8"?>
<ds:datastoreItem xmlns:ds="http://schemas.openxmlformats.org/officeDocument/2006/customXml" ds:itemID="{5D65ED6B-4650-4B18-84D6-6384E9F0CB59}"/>
</file>

<file path=docProps/app.xml><?xml version="1.0" encoding="utf-8"?>
<Properties xmlns="http://schemas.openxmlformats.org/officeDocument/2006/extended-properties" xmlns:vt="http://schemas.openxmlformats.org/officeDocument/2006/docPropsVTypes">
  <Template>Arial Font New</Template>
  <TotalTime>4</TotalTime>
  <Pages>14</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cp:revision>
  <cp:lastPrinted>2017-05-05T18:45:00Z</cp:lastPrinted>
  <dcterms:created xsi:type="dcterms:W3CDTF">2017-05-08T14:31:00Z</dcterms:created>
  <dcterms:modified xsi:type="dcterms:W3CDTF">2017-07-05T14:45:00Z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